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bookmarkStart w:id="0" w:name="_GoBack"/>
      <w:bookmarkEnd w:id="0"/>
    </w:p>
    <w:p w:rsidR="00916FF8" w:rsidRDefault="00916FF8">
      <w:pPr>
        <w:jc w:val="right"/>
        <w:rPr>
          <w:rFonts w:cs="Miriam"/>
          <w:b/>
          <w:bCs/>
          <w:sz w:val="16"/>
          <w:szCs w:val="16"/>
          <w:u w:val="single"/>
          <w:rtl/>
        </w:rPr>
      </w:pPr>
    </w:p>
    <w:tbl>
      <w:tblPr>
        <w:bidiVisual/>
        <w:tblW w:w="8363" w:type="dxa"/>
        <w:tblInd w:w="9" w:type="dxa"/>
        <w:tblLook w:val="0000" w:firstRow="0" w:lastRow="0" w:firstColumn="0" w:lastColumn="0" w:noHBand="0" w:noVBand="0"/>
      </w:tblPr>
      <w:tblGrid>
        <w:gridCol w:w="8363"/>
      </w:tblGrid>
      <w:tr w:rsidR="00AE0552" w:rsidRPr="000A1340" w:rsidTr="008835E9">
        <w:tc>
          <w:tcPr>
            <w:tcW w:w="7848" w:type="dxa"/>
          </w:tcPr>
          <w:p w:rsidR="00AE0552" w:rsidRPr="000A1340" w:rsidRDefault="00AE0552" w:rsidP="008835E9">
            <w:pPr>
              <w:pStyle w:val="FileNumber0"/>
              <w:rPr>
                <w:sz w:val="28"/>
                <w:u w:val="single"/>
                <w:rtl/>
              </w:rPr>
            </w:pPr>
            <w:r w:rsidRPr="000A1340">
              <w:rPr>
                <w:u w:val="single"/>
                <w:rtl/>
              </w:rPr>
              <w:t>בבית המשפט העליון בשבתו כבית משפט גבוה לצדק</w:t>
            </w:r>
          </w:p>
        </w:tc>
      </w:tr>
    </w:tbl>
    <w:p w:rsidR="00AE0552" w:rsidRPr="000A1340" w:rsidRDefault="00AE0552" w:rsidP="00AE0552">
      <w:pPr>
        <w:jc w:val="right"/>
        <w:rPr>
          <w:rFonts w:cs="Miriam"/>
          <w:b/>
          <w:bCs/>
          <w:u w:val="single"/>
        </w:rPr>
      </w:pPr>
    </w:p>
    <w:tbl>
      <w:tblPr>
        <w:bidiVisual/>
        <w:tblW w:w="8363" w:type="dxa"/>
        <w:tblLook w:val="0000" w:firstRow="0" w:lastRow="0" w:firstColumn="0" w:lastColumn="0" w:noHBand="0" w:noVBand="0"/>
      </w:tblPr>
      <w:tblGrid>
        <w:gridCol w:w="8363"/>
      </w:tblGrid>
      <w:tr w:rsidR="00AE0552" w:rsidRPr="000A1340" w:rsidTr="008835E9">
        <w:trPr>
          <w:trHeight w:val="342"/>
        </w:trPr>
        <w:tc>
          <w:tcPr>
            <w:tcW w:w="9828" w:type="dxa"/>
          </w:tcPr>
          <w:p w:rsidR="00AE0552" w:rsidRPr="000A1340" w:rsidRDefault="00AE0552" w:rsidP="008835E9">
            <w:pPr>
              <w:pStyle w:val="FileNumber"/>
              <w:rPr>
                <w:sz w:val="28"/>
                <w:szCs w:val="28"/>
              </w:rPr>
            </w:pPr>
            <w:bookmarkStart w:id="1" w:name="casename_body"/>
            <w:r w:rsidRPr="000A1340">
              <w:rPr>
                <w:sz w:val="28"/>
                <w:szCs w:val="28"/>
                <w:rtl/>
              </w:rPr>
              <w:t>בג"ץ  2592/20</w:t>
            </w:r>
          </w:p>
        </w:tc>
      </w:tr>
      <w:tr w:rsidR="00AE0552" w:rsidRPr="000A1340" w:rsidTr="008835E9">
        <w:trPr>
          <w:trHeight w:val="342"/>
        </w:trPr>
        <w:tc>
          <w:tcPr>
            <w:tcW w:w="9828" w:type="dxa"/>
          </w:tcPr>
          <w:p w:rsidR="00AE0552" w:rsidRPr="000A1340" w:rsidRDefault="00AE0552" w:rsidP="008835E9">
            <w:pPr>
              <w:pStyle w:val="FileNumber"/>
              <w:rPr>
                <w:sz w:val="28"/>
                <w:szCs w:val="28"/>
              </w:rPr>
            </w:pPr>
            <w:r w:rsidRPr="000A1340">
              <w:rPr>
                <w:sz w:val="28"/>
                <w:szCs w:val="28"/>
                <w:rtl/>
              </w:rPr>
              <w:t>בג"ץ  2593/20</w:t>
            </w:r>
          </w:p>
        </w:tc>
      </w:tr>
      <w:tr w:rsidR="00AE0552" w:rsidRPr="000A1340" w:rsidTr="008835E9">
        <w:trPr>
          <w:trHeight w:val="342"/>
        </w:trPr>
        <w:tc>
          <w:tcPr>
            <w:tcW w:w="9828" w:type="dxa"/>
          </w:tcPr>
          <w:p w:rsidR="00AE0552" w:rsidRPr="000A1340" w:rsidRDefault="00AE0552" w:rsidP="008835E9">
            <w:pPr>
              <w:pStyle w:val="FileNumber"/>
              <w:rPr>
                <w:sz w:val="28"/>
                <w:szCs w:val="28"/>
                <w:rtl/>
              </w:rPr>
            </w:pPr>
            <w:r w:rsidRPr="000A1340">
              <w:rPr>
                <w:sz w:val="28"/>
                <w:szCs w:val="28"/>
                <w:rtl/>
              </w:rPr>
              <w:t>בג"ץ  2594/20</w:t>
            </w:r>
          </w:p>
        </w:tc>
      </w:tr>
      <w:tr w:rsidR="00AE0552" w:rsidRPr="000A1340" w:rsidTr="008835E9">
        <w:trPr>
          <w:trHeight w:val="342"/>
        </w:trPr>
        <w:tc>
          <w:tcPr>
            <w:tcW w:w="9828" w:type="dxa"/>
          </w:tcPr>
          <w:p w:rsidR="00AE0552" w:rsidRPr="000A1340" w:rsidRDefault="00AE0552" w:rsidP="008835E9">
            <w:pPr>
              <w:pStyle w:val="FileNumber"/>
              <w:rPr>
                <w:sz w:val="28"/>
                <w:szCs w:val="28"/>
                <w:rtl/>
              </w:rPr>
            </w:pPr>
            <w:r w:rsidRPr="000A1340">
              <w:rPr>
                <w:sz w:val="28"/>
                <w:szCs w:val="28"/>
                <w:rtl/>
              </w:rPr>
              <w:t>בג"ץ  2609/20</w:t>
            </w:r>
          </w:p>
        </w:tc>
      </w:tr>
      <w:tr w:rsidR="00AE0552" w:rsidRPr="000A1340" w:rsidTr="008835E9">
        <w:trPr>
          <w:trHeight w:val="342"/>
        </w:trPr>
        <w:tc>
          <w:tcPr>
            <w:tcW w:w="9828" w:type="dxa"/>
          </w:tcPr>
          <w:p w:rsidR="00AE0552" w:rsidRPr="000A1340" w:rsidRDefault="00AE0552" w:rsidP="008835E9">
            <w:pPr>
              <w:pStyle w:val="FileNumber"/>
              <w:rPr>
                <w:sz w:val="28"/>
                <w:szCs w:val="28"/>
                <w:rtl/>
              </w:rPr>
            </w:pPr>
            <w:r w:rsidRPr="000A1340">
              <w:rPr>
                <w:sz w:val="28"/>
                <w:szCs w:val="28"/>
                <w:rtl/>
              </w:rPr>
              <w:t>בג"ץ  2612/20</w:t>
            </w:r>
          </w:p>
        </w:tc>
      </w:tr>
      <w:tr w:rsidR="00AE0552" w:rsidRPr="000A1340" w:rsidTr="008835E9">
        <w:trPr>
          <w:trHeight w:val="342"/>
        </w:trPr>
        <w:tc>
          <w:tcPr>
            <w:tcW w:w="9828" w:type="dxa"/>
          </w:tcPr>
          <w:p w:rsidR="00AE0552" w:rsidRPr="000A1340" w:rsidRDefault="00AE0552" w:rsidP="008835E9">
            <w:pPr>
              <w:pStyle w:val="FileNumber"/>
              <w:rPr>
                <w:sz w:val="28"/>
                <w:szCs w:val="28"/>
                <w:rtl/>
              </w:rPr>
            </w:pPr>
            <w:r w:rsidRPr="000A1340">
              <w:rPr>
                <w:sz w:val="28"/>
                <w:szCs w:val="28"/>
                <w:rtl/>
              </w:rPr>
              <w:t>בג"ץ  2649/20</w:t>
            </w:r>
          </w:p>
        </w:tc>
      </w:tr>
      <w:tr w:rsidR="00AE0552" w:rsidRPr="000A1340" w:rsidTr="008835E9">
        <w:trPr>
          <w:trHeight w:val="342"/>
        </w:trPr>
        <w:tc>
          <w:tcPr>
            <w:tcW w:w="9828" w:type="dxa"/>
          </w:tcPr>
          <w:p w:rsidR="00AE0552" w:rsidRPr="000A1340" w:rsidRDefault="00AE0552" w:rsidP="008835E9">
            <w:pPr>
              <w:pStyle w:val="FileNumber"/>
              <w:rPr>
                <w:sz w:val="28"/>
                <w:szCs w:val="28"/>
                <w:rtl/>
              </w:rPr>
            </w:pPr>
            <w:r w:rsidRPr="000A1340">
              <w:rPr>
                <w:sz w:val="28"/>
                <w:szCs w:val="28"/>
                <w:rtl/>
              </w:rPr>
              <w:t>בג"ץ  2675/20</w:t>
            </w:r>
          </w:p>
        </w:tc>
      </w:tr>
      <w:tr w:rsidR="00AE0552" w:rsidRPr="000A1340" w:rsidTr="008835E9">
        <w:trPr>
          <w:trHeight w:val="342"/>
        </w:trPr>
        <w:tc>
          <w:tcPr>
            <w:tcW w:w="9828" w:type="dxa"/>
          </w:tcPr>
          <w:p w:rsidR="00AE0552" w:rsidRPr="000A1340" w:rsidRDefault="00AE0552" w:rsidP="008835E9">
            <w:pPr>
              <w:pStyle w:val="FileNumber"/>
              <w:rPr>
                <w:sz w:val="28"/>
                <w:szCs w:val="28"/>
                <w:rtl/>
              </w:rPr>
            </w:pPr>
            <w:r w:rsidRPr="000A1340">
              <w:rPr>
                <w:sz w:val="28"/>
                <w:szCs w:val="28"/>
                <w:rtl/>
              </w:rPr>
              <w:t>בג"ץ  2677/20</w:t>
            </w:r>
          </w:p>
        </w:tc>
      </w:tr>
      <w:bookmarkEnd w:id="1"/>
    </w:tbl>
    <w:p w:rsidR="00ED0A0F" w:rsidRPr="00377102" w:rsidRDefault="00ED0A0F">
      <w:pPr>
        <w:jc w:val="right"/>
        <w:rPr>
          <w:rFonts w:cs="Miriam"/>
          <w:b/>
          <w:bCs/>
          <w:sz w:val="16"/>
          <w:szCs w:val="16"/>
          <w:u w:val="single"/>
        </w:rPr>
      </w:pPr>
    </w:p>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ED0A0F" w:rsidRPr="000A1340" w:rsidTr="008835E9">
        <w:trPr>
          <w:trHeight w:val="287"/>
        </w:trPr>
        <w:tc>
          <w:tcPr>
            <w:tcW w:w="3261" w:type="dxa"/>
          </w:tcPr>
          <w:p w:rsidR="00ED0A0F" w:rsidRPr="000A1340" w:rsidRDefault="00ED0A0F" w:rsidP="008835E9">
            <w:pPr>
              <w:pStyle w:val="BodyRuller"/>
              <w:rPr>
                <w:rFonts w:cs="Miriam"/>
                <w:b/>
                <w:bCs/>
                <w:u w:val="single"/>
              </w:rPr>
            </w:pPr>
            <w:r w:rsidRPr="000A1340">
              <w:rPr>
                <w:rFonts w:hint="cs"/>
                <w:rtl/>
              </w:rPr>
              <w:t>ל</w:t>
            </w:r>
            <w:r w:rsidRPr="000A1340">
              <w:rPr>
                <w:rtl/>
              </w:rPr>
              <w:t>פני:</w:t>
            </w:r>
            <w:r w:rsidRPr="000A1340">
              <w:rPr>
                <w:rtl/>
              </w:rPr>
              <w:tab/>
            </w:r>
          </w:p>
        </w:tc>
        <w:tc>
          <w:tcPr>
            <w:tcW w:w="5239" w:type="dxa"/>
          </w:tcPr>
          <w:p w:rsidR="00ED0A0F" w:rsidRPr="000A1340" w:rsidRDefault="00ED0A0F" w:rsidP="008835E9">
            <w:pPr>
              <w:pStyle w:val="BodyRuller"/>
            </w:pPr>
            <w:r w:rsidRPr="000A1340">
              <w:rPr>
                <w:rtl/>
              </w:rPr>
              <w:t>כבוד הנשיאה א' חיות</w:t>
            </w:r>
          </w:p>
        </w:tc>
      </w:tr>
      <w:tr w:rsidR="00ED0A0F" w:rsidRPr="000A1340" w:rsidTr="008835E9">
        <w:trPr>
          <w:trHeight w:val="287"/>
        </w:trPr>
        <w:tc>
          <w:tcPr>
            <w:tcW w:w="3261" w:type="dxa"/>
          </w:tcPr>
          <w:p w:rsidR="00ED0A0F" w:rsidRPr="000A1340" w:rsidRDefault="00ED0A0F" w:rsidP="008835E9">
            <w:pPr>
              <w:pStyle w:val="BodyRuller"/>
              <w:rPr>
                <w:rtl/>
              </w:rPr>
            </w:pPr>
          </w:p>
        </w:tc>
        <w:tc>
          <w:tcPr>
            <w:tcW w:w="5239" w:type="dxa"/>
          </w:tcPr>
          <w:p w:rsidR="00ED0A0F" w:rsidRPr="000A1340" w:rsidRDefault="00ED0A0F" w:rsidP="008835E9">
            <w:pPr>
              <w:pStyle w:val="BodyRuller"/>
              <w:rPr>
                <w:rtl/>
              </w:rPr>
            </w:pPr>
            <w:r w:rsidRPr="000A1340">
              <w:rPr>
                <w:rtl/>
              </w:rPr>
              <w:t>כבוד המשנה לנשיאה ח' מלצר</w:t>
            </w:r>
          </w:p>
        </w:tc>
      </w:tr>
      <w:tr w:rsidR="00ED0A0F" w:rsidRPr="000A1340" w:rsidTr="008835E9">
        <w:trPr>
          <w:trHeight w:val="287"/>
        </w:trPr>
        <w:tc>
          <w:tcPr>
            <w:tcW w:w="3261" w:type="dxa"/>
          </w:tcPr>
          <w:p w:rsidR="00ED0A0F" w:rsidRPr="000A1340" w:rsidRDefault="00ED0A0F" w:rsidP="008835E9">
            <w:pPr>
              <w:pStyle w:val="BodyRuller"/>
              <w:rPr>
                <w:rtl/>
              </w:rPr>
            </w:pPr>
          </w:p>
        </w:tc>
        <w:tc>
          <w:tcPr>
            <w:tcW w:w="5239" w:type="dxa"/>
          </w:tcPr>
          <w:p w:rsidR="00ED0A0F" w:rsidRPr="000A1340" w:rsidRDefault="00ED0A0F" w:rsidP="008835E9">
            <w:pPr>
              <w:pStyle w:val="BodyRuller"/>
              <w:rPr>
                <w:rtl/>
              </w:rPr>
            </w:pPr>
            <w:r w:rsidRPr="000A1340">
              <w:rPr>
                <w:rtl/>
              </w:rPr>
              <w:t>כבוד השופט נ' הנדל</w:t>
            </w:r>
          </w:p>
          <w:p w:rsidR="00ED0A0F" w:rsidRPr="000A1340" w:rsidRDefault="00ED0A0F" w:rsidP="008835E9">
            <w:pPr>
              <w:pStyle w:val="BodyRuller"/>
              <w:rPr>
                <w:rtl/>
              </w:rPr>
            </w:pPr>
            <w:r w:rsidRPr="000A1340">
              <w:rPr>
                <w:rFonts w:hint="cs"/>
                <w:rtl/>
              </w:rPr>
              <w:t>כבוד השופט ע' פוגלמן</w:t>
            </w:r>
          </w:p>
          <w:p w:rsidR="00ED0A0F" w:rsidRPr="000A1340" w:rsidRDefault="00ED0A0F" w:rsidP="008835E9">
            <w:pPr>
              <w:pStyle w:val="BodyRuller"/>
              <w:rPr>
                <w:rtl/>
              </w:rPr>
            </w:pPr>
            <w:r w:rsidRPr="000A1340">
              <w:rPr>
                <w:rFonts w:hint="cs"/>
                <w:rtl/>
              </w:rPr>
              <w:t>כבוד השופט י' עמית</w:t>
            </w:r>
          </w:p>
          <w:p w:rsidR="00ED0A0F" w:rsidRPr="000A1340" w:rsidRDefault="00ED0A0F" w:rsidP="008835E9">
            <w:pPr>
              <w:pStyle w:val="BodyRuller"/>
              <w:rPr>
                <w:rtl/>
              </w:rPr>
            </w:pPr>
            <w:r w:rsidRPr="000A1340">
              <w:rPr>
                <w:rFonts w:hint="cs"/>
                <w:rtl/>
              </w:rPr>
              <w:t>כבוד השופט נ' סולברג</w:t>
            </w:r>
          </w:p>
          <w:p w:rsidR="00ED0A0F" w:rsidRPr="000A1340" w:rsidRDefault="00ED0A0F" w:rsidP="008835E9">
            <w:pPr>
              <w:pStyle w:val="BodyRuller"/>
              <w:rPr>
                <w:rtl/>
              </w:rPr>
            </w:pPr>
            <w:r w:rsidRPr="000A1340">
              <w:rPr>
                <w:rFonts w:hint="cs"/>
                <w:rtl/>
              </w:rPr>
              <w:t>כבוד השופטת ד' ברק-ארז</w:t>
            </w:r>
          </w:p>
          <w:p w:rsidR="00ED0A0F" w:rsidRPr="000A1340" w:rsidRDefault="00ED0A0F" w:rsidP="008835E9">
            <w:pPr>
              <w:pStyle w:val="BodyRuller"/>
              <w:rPr>
                <w:rtl/>
              </w:rPr>
            </w:pPr>
            <w:r w:rsidRPr="000A1340">
              <w:rPr>
                <w:rFonts w:hint="cs"/>
                <w:rtl/>
              </w:rPr>
              <w:t>כבוד השופט מ' מזוז</w:t>
            </w:r>
          </w:p>
          <w:p w:rsidR="00ED0A0F" w:rsidRPr="000A1340" w:rsidRDefault="00ED0A0F" w:rsidP="008835E9">
            <w:pPr>
              <w:pStyle w:val="BodyRuller"/>
              <w:rPr>
                <w:rtl/>
              </w:rPr>
            </w:pPr>
            <w:r w:rsidRPr="000A1340">
              <w:rPr>
                <w:rFonts w:hint="cs"/>
                <w:rtl/>
              </w:rPr>
              <w:t>כבוד השופטת ע' ברון</w:t>
            </w:r>
          </w:p>
          <w:p w:rsidR="00ED0A0F" w:rsidRPr="000A1340" w:rsidRDefault="00ED0A0F" w:rsidP="008835E9">
            <w:pPr>
              <w:pStyle w:val="BodyRuller"/>
              <w:rPr>
                <w:rtl/>
              </w:rPr>
            </w:pPr>
            <w:r w:rsidRPr="000A1340">
              <w:rPr>
                <w:rFonts w:hint="cs"/>
                <w:rtl/>
              </w:rPr>
              <w:t>כבוד השופט ג' קרא</w:t>
            </w:r>
          </w:p>
          <w:p w:rsidR="00ED0A0F" w:rsidRPr="000A1340" w:rsidRDefault="00ED0A0F" w:rsidP="008835E9">
            <w:pPr>
              <w:pStyle w:val="BodyRuller"/>
              <w:rPr>
                <w:rtl/>
              </w:rPr>
            </w:pPr>
            <w:r w:rsidRPr="000A1340">
              <w:rPr>
                <w:rFonts w:hint="cs"/>
                <w:rtl/>
              </w:rPr>
              <w:t xml:space="preserve">כבוד השופט ד' מינץ </w:t>
            </w:r>
          </w:p>
        </w:tc>
      </w:tr>
    </w:tbl>
    <w:p w:rsidR="00ED0A0F" w:rsidRPr="000A1340" w:rsidRDefault="00ED0A0F" w:rsidP="00ED0A0F">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ED0A0F" w:rsidRPr="000A1340" w:rsidTr="008835E9">
        <w:trPr>
          <w:trHeight w:val="287"/>
        </w:trPr>
        <w:tc>
          <w:tcPr>
            <w:tcW w:w="3261" w:type="dxa"/>
          </w:tcPr>
          <w:p w:rsidR="00ED0A0F" w:rsidRPr="000A1340" w:rsidRDefault="00ED0A0F" w:rsidP="008835E9">
            <w:pPr>
              <w:pStyle w:val="BodyRuller"/>
              <w:rPr>
                <w:rFonts w:ascii="David" w:hAnsi="David"/>
                <w:rtl/>
              </w:rPr>
            </w:pPr>
            <w:r w:rsidRPr="000A1340">
              <w:rPr>
                <w:rFonts w:ascii="David" w:hAnsi="David"/>
                <w:rtl/>
              </w:rPr>
              <w:t>העותר</w:t>
            </w:r>
            <w:r w:rsidRPr="000A1340">
              <w:rPr>
                <w:rFonts w:ascii="David" w:hAnsi="David" w:hint="cs"/>
                <w:rtl/>
              </w:rPr>
              <w:t xml:space="preserve">ת בבג"ץ 2592/20 </w:t>
            </w:r>
          </w:p>
          <w:p w:rsidR="00ED0A0F" w:rsidRPr="000A1340" w:rsidRDefault="00ED0A0F" w:rsidP="008835E9">
            <w:pPr>
              <w:pStyle w:val="BodyRuller"/>
              <w:rPr>
                <w:rFonts w:ascii="David" w:hAnsi="David"/>
                <w:rtl/>
              </w:rPr>
            </w:pPr>
            <w:r w:rsidRPr="000A1340">
              <w:rPr>
                <w:rFonts w:ascii="David" w:hAnsi="David" w:hint="cs"/>
                <w:rtl/>
              </w:rPr>
              <w:t>ובבג"ץ 2677/20: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העותרים בבג"ץ 2593/20: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העותרות בבג"ץ 2594/20: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העותר בבג"ץ 2609/20: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העותרת בבג"ץ 2612/20: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העותרת בבג"ץ 2649/20: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Pr>
            </w:pPr>
            <w:r w:rsidRPr="000A1340">
              <w:rPr>
                <w:rFonts w:ascii="David" w:hAnsi="David" w:hint="cs"/>
                <w:rtl/>
              </w:rPr>
              <w:t>העותרת בבג"ץ 2675/20:</w:t>
            </w:r>
          </w:p>
        </w:tc>
        <w:tc>
          <w:tcPr>
            <w:tcW w:w="5239" w:type="dxa"/>
          </w:tcPr>
          <w:p w:rsidR="00ED0A0F" w:rsidRPr="000A1340" w:rsidRDefault="00ED0A0F" w:rsidP="008835E9">
            <w:pPr>
              <w:pStyle w:val="BodyRuller"/>
              <w:rPr>
                <w:rtl/>
              </w:rPr>
            </w:pPr>
          </w:p>
          <w:p w:rsidR="00ED0A0F" w:rsidRPr="000A1340" w:rsidRDefault="00ED0A0F" w:rsidP="008835E9">
            <w:pPr>
              <w:pStyle w:val="BodyRuller"/>
              <w:rPr>
                <w:rtl/>
              </w:rPr>
            </w:pPr>
            <w:r w:rsidRPr="000A1340">
              <w:rPr>
                <w:rtl/>
              </w:rPr>
              <w:t>התנועה למען איכות השלטון</w:t>
            </w:r>
            <w:r w:rsidRPr="000A1340">
              <w:rPr>
                <w:rFonts w:hint="cs"/>
                <w:rtl/>
              </w:rPr>
              <w:t xml:space="preserve"> בישראל</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 xml:space="preserve">ד"ר ארנה ברי ו-122 אח' </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עמותת "חוזה חדש"</w:t>
            </w:r>
          </w:p>
          <w:p w:rsidR="00ED0A0F" w:rsidRPr="000A1340" w:rsidRDefault="00ED0A0F" w:rsidP="008835E9">
            <w:pPr>
              <w:pStyle w:val="BodyRuller"/>
              <w:rPr>
                <w:rtl/>
              </w:rPr>
            </w:pPr>
            <w:r w:rsidRPr="000A1340">
              <w:rPr>
                <w:rFonts w:hint="cs"/>
                <w:rtl/>
              </w:rPr>
              <w:t>2. משמר הדמוקרטיה הישראלית</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שפיק רפול</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 xml:space="preserve">התנועה לטוהר המידות </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סיעת יש עתיד-תל"ם</w:t>
            </w:r>
          </w:p>
          <w:p w:rsidR="00ED0A0F" w:rsidRPr="000A1340" w:rsidRDefault="00ED0A0F" w:rsidP="008835E9">
            <w:pPr>
              <w:pStyle w:val="BodyRuller"/>
              <w:rPr>
                <w:rtl/>
              </w:rPr>
            </w:pPr>
          </w:p>
          <w:p w:rsidR="00ED0A0F" w:rsidRPr="000A1340" w:rsidRDefault="00ED0A0F" w:rsidP="008835E9">
            <w:pPr>
              <w:pStyle w:val="BodyRuller"/>
            </w:pPr>
            <w:r w:rsidRPr="000A1340">
              <w:rPr>
                <w:rFonts w:hint="cs"/>
                <w:rtl/>
              </w:rPr>
              <w:t xml:space="preserve">העמותה לדמוקרטיה מתקדמת </w:t>
            </w:r>
          </w:p>
        </w:tc>
      </w:tr>
    </w:tbl>
    <w:p w:rsidR="00ED0A0F" w:rsidRPr="000A1340" w:rsidRDefault="00ED0A0F" w:rsidP="00ED0A0F">
      <w:pPr>
        <w:pStyle w:val="Ruller3"/>
      </w:pPr>
    </w:p>
    <w:tbl>
      <w:tblPr>
        <w:bidiVisual/>
        <w:tblW w:w="8363" w:type="dxa"/>
        <w:tblLook w:val="0000" w:firstRow="0" w:lastRow="0" w:firstColumn="0" w:lastColumn="0" w:noHBand="0" w:noVBand="0"/>
      </w:tblPr>
      <w:tblGrid>
        <w:gridCol w:w="3222"/>
        <w:gridCol w:w="5141"/>
      </w:tblGrid>
      <w:tr w:rsidR="00ED0A0F" w:rsidRPr="000A1340" w:rsidTr="008835E9">
        <w:tc>
          <w:tcPr>
            <w:tcW w:w="3284" w:type="dxa"/>
          </w:tcPr>
          <w:p w:rsidR="00ED0A0F" w:rsidRPr="000A1340" w:rsidRDefault="00ED0A0F" w:rsidP="008835E9">
            <w:pPr>
              <w:pStyle w:val="BodyRuller"/>
            </w:pPr>
          </w:p>
        </w:tc>
        <w:tc>
          <w:tcPr>
            <w:tcW w:w="5238" w:type="dxa"/>
          </w:tcPr>
          <w:p w:rsidR="00ED0A0F" w:rsidRPr="000A1340" w:rsidRDefault="00ED0A0F" w:rsidP="008835E9">
            <w:pPr>
              <w:pStyle w:val="BodyRuller"/>
            </w:pPr>
            <w:r w:rsidRPr="000A1340">
              <w:rPr>
                <w:rFonts w:hint="cs"/>
                <w:rtl/>
              </w:rPr>
              <w:t>נ</w:t>
            </w:r>
            <w:r w:rsidRPr="000A1340">
              <w:t xml:space="preserve">  </w:t>
            </w:r>
            <w:r w:rsidRPr="000A1340">
              <w:rPr>
                <w:rFonts w:hint="cs"/>
                <w:rtl/>
              </w:rPr>
              <w:t>ג</w:t>
            </w:r>
            <w:r w:rsidRPr="000A1340">
              <w:t xml:space="preserve">  </w:t>
            </w:r>
            <w:r w:rsidRPr="000A1340">
              <w:rPr>
                <w:rFonts w:hint="cs"/>
                <w:rtl/>
              </w:rPr>
              <w:t>ד</w:t>
            </w:r>
          </w:p>
        </w:tc>
      </w:tr>
    </w:tbl>
    <w:p w:rsidR="00ED0A0F" w:rsidRPr="000A1340" w:rsidRDefault="00ED0A0F" w:rsidP="00ED0A0F">
      <w:pPr>
        <w:pStyle w:val="Ruller3"/>
        <w:rPr>
          <w:rtl/>
        </w:rPr>
      </w:pPr>
    </w:p>
    <w:tbl>
      <w:tblPr>
        <w:bidiVisual/>
        <w:tblW w:w="8364" w:type="dxa"/>
        <w:tblLayout w:type="fixed"/>
        <w:tblLook w:val="0000" w:firstRow="0" w:lastRow="0" w:firstColumn="0" w:lastColumn="0" w:noHBand="0" w:noVBand="0"/>
      </w:tblPr>
      <w:tblGrid>
        <w:gridCol w:w="3210"/>
        <w:gridCol w:w="5154"/>
      </w:tblGrid>
      <w:tr w:rsidR="00ED0A0F" w:rsidRPr="000A1340" w:rsidTr="008835E9">
        <w:trPr>
          <w:trHeight w:val="287"/>
        </w:trPr>
        <w:tc>
          <w:tcPr>
            <w:tcW w:w="3261" w:type="dxa"/>
          </w:tcPr>
          <w:p w:rsidR="00ED0A0F" w:rsidRPr="000A1340" w:rsidRDefault="00ED0A0F" w:rsidP="008835E9">
            <w:pPr>
              <w:pStyle w:val="BodyRuller"/>
              <w:rPr>
                <w:rFonts w:ascii="David" w:hAnsi="David"/>
              </w:rPr>
            </w:pPr>
            <w:r w:rsidRPr="000A1340">
              <w:rPr>
                <w:rFonts w:ascii="David" w:hAnsi="David"/>
                <w:rtl/>
              </w:rPr>
              <w:lastRenderedPageBreak/>
              <w:t>המשיבים</w:t>
            </w:r>
            <w:r w:rsidRPr="000A1340">
              <w:rPr>
                <w:rFonts w:ascii="David" w:hAnsi="David" w:hint="cs"/>
                <w:rtl/>
              </w:rPr>
              <w:t xml:space="preserve"> בבג"ץ 2592/20</w:t>
            </w:r>
            <w:r w:rsidRPr="000A1340">
              <w:rPr>
                <w:rFonts w:ascii="David" w:hAnsi="David"/>
                <w:rtl/>
              </w:rPr>
              <w:t>:</w:t>
            </w:r>
          </w:p>
        </w:tc>
        <w:tc>
          <w:tcPr>
            <w:tcW w:w="5239" w:type="dxa"/>
          </w:tcPr>
          <w:p w:rsidR="00ED0A0F" w:rsidRPr="000A1340" w:rsidRDefault="00ED0A0F" w:rsidP="008835E9">
            <w:pPr>
              <w:pStyle w:val="BodyRuller"/>
            </w:pPr>
            <w:r w:rsidRPr="000A1340">
              <w:rPr>
                <w:rtl/>
              </w:rPr>
              <w:t>1. היועץ המשפטי  לממשלה</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2. ראש הממשלה בנימין נתניהו</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3. היועץ המשפטי לכנסת</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4. כנסת ישראל</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5. היועצת המשפטית  לנשיא המדינה</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6. סיעת הליכוד</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7. סיעת כחול לבן</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8. סיעת יש עתיד</w:t>
            </w:r>
            <w:r w:rsidRPr="000A1340">
              <w:rPr>
                <w:rFonts w:hint="cs"/>
                <w:rtl/>
              </w:rPr>
              <w:t>-</w:t>
            </w:r>
            <w:r w:rsidRPr="000A1340">
              <w:rPr>
                <w:rtl/>
              </w:rPr>
              <w:t>תל</w:t>
            </w:r>
            <w:r w:rsidRPr="000A1340">
              <w:rPr>
                <w:rFonts w:hint="cs"/>
                <w:rtl/>
              </w:rPr>
              <w:t>"</w:t>
            </w:r>
            <w:r w:rsidRPr="000A1340">
              <w:rPr>
                <w:rtl/>
              </w:rPr>
              <w:t>ם</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9. סיעת הרשימה המשותפת</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10. סיעת ש"ס</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11. סיעת יהדות התורה</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12. סיעת ימינה</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tc>
        <w:tc>
          <w:tcPr>
            <w:tcW w:w="5239" w:type="dxa"/>
          </w:tcPr>
          <w:p w:rsidR="00ED0A0F" w:rsidRPr="000A1340" w:rsidRDefault="00ED0A0F" w:rsidP="008835E9">
            <w:pPr>
              <w:pStyle w:val="BodyRuller"/>
              <w:rPr>
                <w:rtl/>
              </w:rPr>
            </w:pPr>
            <w:r w:rsidRPr="000A1340">
              <w:rPr>
                <w:rtl/>
              </w:rPr>
              <w:t>13. סיעת גשר</w:t>
            </w:r>
          </w:p>
        </w:tc>
      </w:tr>
      <w:tr w:rsidR="00ED0A0F" w:rsidRPr="000A1340" w:rsidTr="008835E9">
        <w:trPr>
          <w:trHeight w:val="287"/>
        </w:trPr>
        <w:tc>
          <w:tcPr>
            <w:tcW w:w="3261" w:type="dxa"/>
          </w:tcPr>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המשיבים בבג"ץ 2593/20: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המשיבים בבג"ץ 2594/20: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המשיבים בבג"ץ 2609/20: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המשיבים בבג"ץ 2612/20: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המשיבים בבג"ץ 2649/20: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המשיבים בבג"ץ 2675/20: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המשיבים בבג"ץ 2677/20:</w:t>
            </w: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p>
          <w:p w:rsidR="00ED0A0F" w:rsidRPr="000A1340" w:rsidRDefault="00ED0A0F" w:rsidP="008835E9">
            <w:pPr>
              <w:pStyle w:val="BodyRuller"/>
              <w:rPr>
                <w:rFonts w:ascii="David" w:hAnsi="David"/>
                <w:rtl/>
              </w:rPr>
            </w:pPr>
            <w:r w:rsidRPr="000A1340">
              <w:rPr>
                <w:rFonts w:ascii="David" w:hAnsi="David" w:hint="cs"/>
                <w:rtl/>
              </w:rPr>
              <w:t>המבקשים להצטרף לעתירות:</w:t>
            </w:r>
          </w:p>
        </w:tc>
        <w:tc>
          <w:tcPr>
            <w:tcW w:w="5239" w:type="dxa"/>
          </w:tcPr>
          <w:p w:rsidR="00ED0A0F" w:rsidRPr="000A1340" w:rsidRDefault="00ED0A0F" w:rsidP="008835E9">
            <w:pPr>
              <w:pStyle w:val="BodyRuller"/>
              <w:rPr>
                <w:rtl/>
              </w:rPr>
            </w:pPr>
            <w:r w:rsidRPr="000A1340">
              <w:rPr>
                <w:rtl/>
              </w:rPr>
              <w:t>14. סיעת דרך ארץ</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היועץ המשפטי לממשלה</w:t>
            </w:r>
          </w:p>
          <w:p w:rsidR="00ED0A0F" w:rsidRPr="000A1340" w:rsidRDefault="00ED0A0F" w:rsidP="008835E9">
            <w:pPr>
              <w:pStyle w:val="BodyRuller"/>
              <w:rPr>
                <w:rtl/>
              </w:rPr>
            </w:pPr>
            <w:r w:rsidRPr="000A1340">
              <w:rPr>
                <w:rFonts w:hint="cs"/>
                <w:rtl/>
              </w:rPr>
              <w:t xml:space="preserve">2. ח"כ בנימין נתניהו </w:t>
            </w:r>
            <w:r w:rsidRPr="000A1340">
              <w:rPr>
                <w:rtl/>
              </w:rPr>
              <w:t>–</w:t>
            </w:r>
            <w:r w:rsidRPr="000A1340">
              <w:rPr>
                <w:rFonts w:hint="cs"/>
                <w:rtl/>
              </w:rPr>
              <w:t xml:space="preserve"> ראש ממשלת מעבר</w:t>
            </w:r>
          </w:p>
          <w:p w:rsidR="00ED0A0F" w:rsidRPr="000A1340" w:rsidRDefault="00ED0A0F" w:rsidP="008835E9">
            <w:pPr>
              <w:pStyle w:val="BodyRuller"/>
              <w:rPr>
                <w:rtl/>
              </w:rPr>
            </w:pPr>
            <w:r w:rsidRPr="000A1340">
              <w:rPr>
                <w:rFonts w:hint="cs"/>
                <w:rtl/>
              </w:rPr>
              <w:t xml:space="preserve">3. ח"כ בני גנץ </w:t>
            </w:r>
            <w:r w:rsidRPr="000A1340">
              <w:rPr>
                <w:rtl/>
              </w:rPr>
              <w:t>–</w:t>
            </w:r>
            <w:r w:rsidRPr="000A1340">
              <w:rPr>
                <w:rFonts w:hint="cs"/>
                <w:rtl/>
              </w:rPr>
              <w:t xml:space="preserve"> יו"ר כנסת ישראל</w:t>
            </w:r>
          </w:p>
          <w:p w:rsidR="00ED0A0F" w:rsidRPr="000A1340" w:rsidRDefault="00ED0A0F" w:rsidP="008835E9">
            <w:pPr>
              <w:pStyle w:val="BodyRuller"/>
              <w:rPr>
                <w:rtl/>
              </w:rPr>
            </w:pPr>
            <w:r w:rsidRPr="000A1340">
              <w:rPr>
                <w:rFonts w:hint="cs"/>
                <w:rtl/>
              </w:rPr>
              <w:t>4. סיעת הליכוד</w:t>
            </w:r>
          </w:p>
          <w:p w:rsidR="00ED0A0F" w:rsidRPr="000A1340" w:rsidRDefault="00ED0A0F" w:rsidP="008835E9">
            <w:pPr>
              <w:pStyle w:val="BodyRuller"/>
              <w:rPr>
                <w:rtl/>
              </w:rPr>
            </w:pPr>
            <w:r w:rsidRPr="000A1340">
              <w:rPr>
                <w:rFonts w:hint="cs"/>
                <w:rtl/>
              </w:rPr>
              <w:t>5. סיעת כחול לבן</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ח"כ בנימין נתניהו</w:t>
            </w:r>
          </w:p>
          <w:p w:rsidR="00ED0A0F" w:rsidRPr="000A1340" w:rsidRDefault="00ED0A0F" w:rsidP="008835E9">
            <w:pPr>
              <w:pStyle w:val="BodyRuller"/>
              <w:rPr>
                <w:rtl/>
              </w:rPr>
            </w:pPr>
            <w:r w:rsidRPr="000A1340">
              <w:rPr>
                <w:rFonts w:hint="cs"/>
                <w:rtl/>
              </w:rPr>
              <w:t>2. יו"ר הכנסת בני גנץ</w:t>
            </w:r>
          </w:p>
          <w:p w:rsidR="00ED0A0F" w:rsidRPr="000A1340" w:rsidRDefault="00ED0A0F" w:rsidP="008835E9">
            <w:pPr>
              <w:pStyle w:val="BodyRuller"/>
              <w:rPr>
                <w:rtl/>
              </w:rPr>
            </w:pPr>
            <w:r w:rsidRPr="000A1340">
              <w:rPr>
                <w:rFonts w:hint="cs"/>
                <w:rtl/>
              </w:rPr>
              <w:t>3. הכנסת ה-23</w:t>
            </w:r>
          </w:p>
          <w:p w:rsidR="00ED0A0F" w:rsidRPr="000A1340" w:rsidRDefault="00ED0A0F" w:rsidP="008835E9">
            <w:pPr>
              <w:pStyle w:val="BodyRuller"/>
              <w:rPr>
                <w:rtl/>
              </w:rPr>
            </w:pPr>
            <w:r w:rsidRPr="000A1340">
              <w:rPr>
                <w:rFonts w:hint="cs"/>
                <w:rtl/>
              </w:rPr>
              <w:t>4. היועץ המשפטי לממשלה</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ח"כ בנימין נתניהו</w:t>
            </w:r>
          </w:p>
          <w:p w:rsidR="00ED0A0F" w:rsidRPr="000A1340" w:rsidRDefault="00ED0A0F" w:rsidP="008835E9">
            <w:pPr>
              <w:pStyle w:val="BodyRuller"/>
              <w:rPr>
                <w:rtl/>
              </w:rPr>
            </w:pPr>
            <w:r w:rsidRPr="000A1340">
              <w:rPr>
                <w:rFonts w:hint="cs"/>
                <w:rtl/>
              </w:rPr>
              <w:t>2. היועץ המשפטי לממשלה</w:t>
            </w:r>
          </w:p>
          <w:p w:rsidR="00ED0A0F" w:rsidRPr="000A1340" w:rsidRDefault="00ED0A0F" w:rsidP="008835E9">
            <w:pPr>
              <w:pStyle w:val="BodyRuller"/>
              <w:rPr>
                <w:rtl/>
              </w:rPr>
            </w:pPr>
            <w:r w:rsidRPr="000A1340">
              <w:rPr>
                <w:rFonts w:hint="cs"/>
                <w:rtl/>
              </w:rPr>
              <w:t>3. הכנסת ה-23</w:t>
            </w:r>
          </w:p>
          <w:p w:rsidR="00ED0A0F" w:rsidRPr="000A1340" w:rsidRDefault="00ED0A0F" w:rsidP="008835E9">
            <w:pPr>
              <w:pStyle w:val="BodyRuller"/>
              <w:rPr>
                <w:rtl/>
              </w:rPr>
            </w:pPr>
            <w:r w:rsidRPr="000A1340">
              <w:rPr>
                <w:rFonts w:hint="cs"/>
                <w:rtl/>
              </w:rPr>
              <w:t>4. היועץ המשפטי לכנסת</w:t>
            </w:r>
          </w:p>
          <w:p w:rsidR="00ED0A0F" w:rsidRPr="000A1340" w:rsidRDefault="00ED0A0F" w:rsidP="008835E9">
            <w:pPr>
              <w:pStyle w:val="BodyRuller"/>
              <w:rPr>
                <w:rtl/>
              </w:rPr>
            </w:pPr>
            <w:r w:rsidRPr="000A1340">
              <w:rPr>
                <w:rFonts w:hint="cs"/>
                <w:rtl/>
              </w:rPr>
              <w:t>5. סיעת הליכוד</w:t>
            </w:r>
          </w:p>
          <w:p w:rsidR="00ED0A0F" w:rsidRPr="000A1340" w:rsidRDefault="00ED0A0F" w:rsidP="008835E9">
            <w:pPr>
              <w:pStyle w:val="BodyRuller"/>
              <w:rPr>
                <w:rtl/>
              </w:rPr>
            </w:pPr>
            <w:r w:rsidRPr="000A1340">
              <w:rPr>
                <w:rFonts w:hint="cs"/>
                <w:rtl/>
              </w:rPr>
              <w:t>6. סיעת כחול לבן</w:t>
            </w:r>
          </w:p>
          <w:p w:rsidR="00ED0A0F" w:rsidRPr="000A1340" w:rsidRDefault="00ED0A0F" w:rsidP="008835E9">
            <w:pPr>
              <w:pStyle w:val="BodyRuller"/>
              <w:rPr>
                <w:rtl/>
              </w:rPr>
            </w:pPr>
            <w:r w:rsidRPr="000A1340">
              <w:rPr>
                <w:rFonts w:hint="cs"/>
                <w:rtl/>
              </w:rPr>
              <w:t>7. סיעת יש עתיד-תל"ם</w:t>
            </w:r>
          </w:p>
          <w:p w:rsidR="00ED0A0F" w:rsidRPr="000A1340" w:rsidRDefault="00ED0A0F" w:rsidP="008835E9">
            <w:pPr>
              <w:pStyle w:val="BodyRuller"/>
              <w:rPr>
                <w:rtl/>
              </w:rPr>
            </w:pPr>
            <w:r w:rsidRPr="000A1340">
              <w:rPr>
                <w:rFonts w:hint="cs"/>
                <w:rtl/>
              </w:rPr>
              <w:t>8. סיעת הרשימה המשותפת</w:t>
            </w:r>
          </w:p>
          <w:p w:rsidR="00ED0A0F" w:rsidRPr="000A1340" w:rsidRDefault="00ED0A0F" w:rsidP="008835E9">
            <w:pPr>
              <w:pStyle w:val="BodyRuller"/>
              <w:rPr>
                <w:rtl/>
              </w:rPr>
            </w:pPr>
            <w:r w:rsidRPr="000A1340">
              <w:rPr>
                <w:rFonts w:hint="cs"/>
                <w:rtl/>
              </w:rPr>
              <w:t>9. סיעת ש"ס</w:t>
            </w:r>
          </w:p>
          <w:p w:rsidR="00ED0A0F" w:rsidRPr="000A1340" w:rsidRDefault="00ED0A0F" w:rsidP="008835E9">
            <w:pPr>
              <w:pStyle w:val="BodyRuller"/>
              <w:rPr>
                <w:rtl/>
              </w:rPr>
            </w:pPr>
            <w:r w:rsidRPr="000A1340">
              <w:rPr>
                <w:rFonts w:hint="cs"/>
                <w:rtl/>
              </w:rPr>
              <w:t>10. סיעת יהדות התורה</w:t>
            </w:r>
          </w:p>
          <w:p w:rsidR="00ED0A0F" w:rsidRPr="000A1340" w:rsidRDefault="00ED0A0F" w:rsidP="008835E9">
            <w:pPr>
              <w:pStyle w:val="BodyRuller"/>
              <w:rPr>
                <w:rtl/>
              </w:rPr>
            </w:pPr>
            <w:r w:rsidRPr="000A1340">
              <w:rPr>
                <w:rFonts w:hint="cs"/>
                <w:rtl/>
              </w:rPr>
              <w:t>11. סיעת ישראל ביתנו</w:t>
            </w:r>
          </w:p>
          <w:p w:rsidR="00ED0A0F" w:rsidRPr="000A1340" w:rsidRDefault="00ED0A0F" w:rsidP="008835E9">
            <w:pPr>
              <w:pStyle w:val="BodyRuller"/>
              <w:rPr>
                <w:rtl/>
              </w:rPr>
            </w:pPr>
            <w:r w:rsidRPr="000A1340">
              <w:rPr>
                <w:rFonts w:hint="cs"/>
                <w:rtl/>
              </w:rPr>
              <w:t>12. סיעת ימינה</w:t>
            </w:r>
          </w:p>
          <w:p w:rsidR="00ED0A0F" w:rsidRPr="000A1340" w:rsidRDefault="00ED0A0F" w:rsidP="008835E9">
            <w:pPr>
              <w:pStyle w:val="BodyRuller"/>
              <w:rPr>
                <w:rtl/>
              </w:rPr>
            </w:pPr>
            <w:r w:rsidRPr="000A1340">
              <w:rPr>
                <w:rFonts w:hint="cs"/>
                <w:rtl/>
              </w:rPr>
              <w:t>13. מפלגת גשר</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ח"כ בנימין נתניהו</w:t>
            </w:r>
          </w:p>
          <w:p w:rsidR="00ED0A0F" w:rsidRPr="000A1340" w:rsidRDefault="00ED0A0F" w:rsidP="008835E9">
            <w:pPr>
              <w:pStyle w:val="BodyRuller"/>
              <w:rPr>
                <w:rtl/>
              </w:rPr>
            </w:pPr>
            <w:r w:rsidRPr="000A1340">
              <w:rPr>
                <w:rFonts w:hint="cs"/>
                <w:rtl/>
              </w:rPr>
              <w:t>2. היועץ המשפטי לממשלה</w:t>
            </w:r>
          </w:p>
          <w:p w:rsidR="00ED0A0F" w:rsidRPr="000A1340" w:rsidRDefault="00ED0A0F" w:rsidP="008835E9">
            <w:pPr>
              <w:pStyle w:val="BodyRuller"/>
              <w:rPr>
                <w:rtl/>
              </w:rPr>
            </w:pPr>
            <w:r w:rsidRPr="000A1340">
              <w:rPr>
                <w:rFonts w:hint="cs"/>
                <w:rtl/>
              </w:rPr>
              <w:t>3. הליכוד תנועה לאומית ליברלית</w:t>
            </w:r>
          </w:p>
          <w:p w:rsidR="00ED0A0F" w:rsidRPr="000A1340" w:rsidRDefault="00ED0A0F" w:rsidP="008835E9">
            <w:pPr>
              <w:pStyle w:val="BodyRuller"/>
              <w:rPr>
                <w:rtl/>
              </w:rPr>
            </w:pPr>
            <w:r w:rsidRPr="000A1340">
              <w:rPr>
                <w:rFonts w:hint="cs"/>
                <w:rtl/>
              </w:rPr>
              <w:t>4. סיעת כחול לבן בכנסת ה-23</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סיעת הליכוד</w:t>
            </w:r>
          </w:p>
          <w:p w:rsidR="00ED0A0F" w:rsidRPr="000A1340" w:rsidRDefault="00ED0A0F" w:rsidP="008835E9">
            <w:pPr>
              <w:pStyle w:val="BodyRuller"/>
              <w:rPr>
                <w:rtl/>
              </w:rPr>
            </w:pPr>
            <w:r w:rsidRPr="000A1340">
              <w:rPr>
                <w:rFonts w:hint="cs"/>
                <w:rtl/>
              </w:rPr>
              <w:t>2. סיעת כחול לבן</w:t>
            </w:r>
          </w:p>
          <w:p w:rsidR="00ED0A0F" w:rsidRPr="000A1340" w:rsidRDefault="00ED0A0F" w:rsidP="008835E9">
            <w:pPr>
              <w:pStyle w:val="BodyRuller"/>
              <w:rPr>
                <w:rtl/>
              </w:rPr>
            </w:pPr>
            <w:r w:rsidRPr="000A1340">
              <w:rPr>
                <w:rFonts w:hint="cs"/>
                <w:rtl/>
              </w:rPr>
              <w:t>3. סיעת הרשימה המשותפת</w:t>
            </w:r>
          </w:p>
          <w:p w:rsidR="00ED0A0F" w:rsidRPr="000A1340" w:rsidRDefault="00ED0A0F" w:rsidP="008835E9">
            <w:pPr>
              <w:pStyle w:val="BodyRuller"/>
              <w:rPr>
                <w:rtl/>
              </w:rPr>
            </w:pPr>
            <w:r w:rsidRPr="000A1340">
              <w:rPr>
                <w:rFonts w:hint="cs"/>
                <w:rtl/>
              </w:rPr>
              <w:t xml:space="preserve">4. סיעת התאחדות ספרדים שומרי תורה </w:t>
            </w:r>
            <w:r w:rsidRPr="000A1340">
              <w:rPr>
                <w:rtl/>
              </w:rPr>
              <w:t>–</w:t>
            </w:r>
            <w:r w:rsidRPr="000A1340">
              <w:rPr>
                <w:rFonts w:hint="cs"/>
                <w:rtl/>
              </w:rPr>
              <w:t xml:space="preserve"> תנועת ש"ס</w:t>
            </w:r>
          </w:p>
          <w:p w:rsidR="00ED0A0F" w:rsidRPr="000A1340" w:rsidRDefault="00ED0A0F" w:rsidP="008835E9">
            <w:pPr>
              <w:pStyle w:val="BodyRuller"/>
              <w:rPr>
                <w:rtl/>
              </w:rPr>
            </w:pPr>
            <w:r w:rsidRPr="000A1340">
              <w:rPr>
                <w:rFonts w:hint="cs"/>
                <w:rtl/>
              </w:rPr>
              <w:t>5. סיעת יהדות התורה</w:t>
            </w:r>
          </w:p>
          <w:p w:rsidR="00ED0A0F" w:rsidRPr="000A1340" w:rsidRDefault="00ED0A0F" w:rsidP="008835E9">
            <w:pPr>
              <w:pStyle w:val="BodyRuller"/>
              <w:rPr>
                <w:rtl/>
              </w:rPr>
            </w:pPr>
            <w:r w:rsidRPr="000A1340">
              <w:rPr>
                <w:rFonts w:hint="cs"/>
                <w:rtl/>
              </w:rPr>
              <w:t>6. סיעת ישראל ביתנו</w:t>
            </w:r>
          </w:p>
          <w:p w:rsidR="00ED0A0F" w:rsidRPr="000A1340" w:rsidRDefault="00ED0A0F" w:rsidP="008835E9">
            <w:pPr>
              <w:pStyle w:val="BodyRuller"/>
              <w:rPr>
                <w:rtl/>
              </w:rPr>
            </w:pPr>
            <w:r w:rsidRPr="000A1340">
              <w:rPr>
                <w:rFonts w:hint="cs"/>
                <w:rtl/>
              </w:rPr>
              <w:t>7. סיעת ימינה</w:t>
            </w:r>
          </w:p>
          <w:p w:rsidR="00ED0A0F" w:rsidRPr="000A1340" w:rsidRDefault="00ED0A0F" w:rsidP="008835E9">
            <w:pPr>
              <w:pStyle w:val="BodyRuller"/>
              <w:rPr>
                <w:rtl/>
              </w:rPr>
            </w:pPr>
            <w:r w:rsidRPr="000A1340">
              <w:rPr>
                <w:rFonts w:hint="cs"/>
                <w:rtl/>
              </w:rPr>
              <w:t>8. סיעת מרצ</w:t>
            </w:r>
          </w:p>
          <w:p w:rsidR="00ED0A0F" w:rsidRPr="000A1340" w:rsidRDefault="00ED0A0F" w:rsidP="008835E9">
            <w:pPr>
              <w:pStyle w:val="BodyRuller"/>
              <w:rPr>
                <w:rtl/>
              </w:rPr>
            </w:pPr>
            <w:r w:rsidRPr="000A1340">
              <w:rPr>
                <w:rFonts w:hint="cs"/>
                <w:rtl/>
              </w:rPr>
              <w:t>9. סיעת העבודה הישראלית</w:t>
            </w:r>
          </w:p>
          <w:p w:rsidR="00ED0A0F" w:rsidRPr="000A1340" w:rsidRDefault="00ED0A0F" w:rsidP="008835E9">
            <w:pPr>
              <w:pStyle w:val="BodyRuller"/>
              <w:rPr>
                <w:rtl/>
              </w:rPr>
            </w:pPr>
            <w:r w:rsidRPr="000A1340">
              <w:rPr>
                <w:rFonts w:hint="cs"/>
                <w:rtl/>
              </w:rPr>
              <w:t>10. סיעת דרך ארץ</w:t>
            </w:r>
          </w:p>
          <w:p w:rsidR="00ED0A0F" w:rsidRPr="000A1340" w:rsidRDefault="00ED0A0F" w:rsidP="008835E9">
            <w:pPr>
              <w:pStyle w:val="BodyRuller"/>
              <w:rPr>
                <w:rtl/>
              </w:rPr>
            </w:pPr>
            <w:r w:rsidRPr="000A1340">
              <w:rPr>
                <w:rFonts w:hint="cs"/>
                <w:rtl/>
              </w:rPr>
              <w:t>11. סיעת גשר</w:t>
            </w:r>
          </w:p>
          <w:p w:rsidR="00ED0A0F" w:rsidRPr="000A1340" w:rsidRDefault="00ED0A0F" w:rsidP="008835E9">
            <w:pPr>
              <w:pStyle w:val="BodyRuller"/>
              <w:rPr>
                <w:rtl/>
              </w:rPr>
            </w:pPr>
            <w:r w:rsidRPr="000A1340">
              <w:rPr>
                <w:rFonts w:hint="cs"/>
                <w:rtl/>
              </w:rPr>
              <w:t>12. היועץ המשפטי לכנסת</w:t>
            </w:r>
          </w:p>
          <w:p w:rsidR="00ED0A0F" w:rsidRPr="000A1340" w:rsidRDefault="00ED0A0F" w:rsidP="008835E9">
            <w:pPr>
              <w:pStyle w:val="BodyRuller"/>
              <w:rPr>
                <w:rtl/>
              </w:rPr>
            </w:pPr>
            <w:r w:rsidRPr="000A1340">
              <w:rPr>
                <w:rFonts w:hint="cs"/>
                <w:rtl/>
              </w:rPr>
              <w:t>13. היועץ המשפטי לממשלה</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סיעת הליכוד בכנסת ה-23</w:t>
            </w:r>
          </w:p>
          <w:p w:rsidR="00ED0A0F" w:rsidRPr="000A1340" w:rsidRDefault="00ED0A0F" w:rsidP="008835E9">
            <w:pPr>
              <w:pStyle w:val="BodyRuller"/>
              <w:rPr>
                <w:rtl/>
              </w:rPr>
            </w:pPr>
            <w:r w:rsidRPr="000A1340">
              <w:rPr>
                <w:rFonts w:hint="cs"/>
                <w:rtl/>
              </w:rPr>
              <w:t>2. סיעת כחול לבן כנסת ה-23</w:t>
            </w:r>
          </w:p>
          <w:p w:rsidR="00ED0A0F" w:rsidRPr="000A1340" w:rsidRDefault="00ED0A0F" w:rsidP="008835E9">
            <w:pPr>
              <w:pStyle w:val="BodyRuller"/>
              <w:rPr>
                <w:rtl/>
              </w:rPr>
            </w:pPr>
            <w:r w:rsidRPr="000A1340">
              <w:rPr>
                <w:rFonts w:hint="cs"/>
                <w:rtl/>
              </w:rPr>
              <w:t>3. היועץ המשפטי לכנסת</w:t>
            </w:r>
          </w:p>
          <w:p w:rsidR="00ED0A0F" w:rsidRPr="000A1340" w:rsidRDefault="00ED0A0F" w:rsidP="008835E9">
            <w:pPr>
              <w:pStyle w:val="BodyRuller"/>
              <w:rPr>
                <w:rtl/>
              </w:rPr>
            </w:pPr>
            <w:r w:rsidRPr="000A1340">
              <w:rPr>
                <w:rFonts w:hint="cs"/>
                <w:rtl/>
              </w:rPr>
              <w:t>4. כנסת ישראל</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סיעת הליכוד</w:t>
            </w:r>
          </w:p>
          <w:p w:rsidR="00ED0A0F" w:rsidRPr="000A1340" w:rsidRDefault="00ED0A0F" w:rsidP="008835E9">
            <w:pPr>
              <w:pStyle w:val="BodyRuller"/>
              <w:rPr>
                <w:rtl/>
              </w:rPr>
            </w:pPr>
            <w:r w:rsidRPr="000A1340">
              <w:rPr>
                <w:rFonts w:hint="cs"/>
                <w:rtl/>
              </w:rPr>
              <w:t>2. סיעת כחול לבן</w:t>
            </w:r>
          </w:p>
          <w:p w:rsidR="00ED0A0F" w:rsidRPr="000A1340" w:rsidRDefault="00ED0A0F" w:rsidP="008835E9">
            <w:pPr>
              <w:pStyle w:val="BodyRuller"/>
              <w:rPr>
                <w:rtl/>
              </w:rPr>
            </w:pPr>
            <w:r w:rsidRPr="000A1340">
              <w:rPr>
                <w:rFonts w:hint="cs"/>
                <w:rtl/>
              </w:rPr>
              <w:t>3. היועץ המשפטי לממשלה</w:t>
            </w:r>
          </w:p>
          <w:p w:rsidR="00ED0A0F" w:rsidRPr="000A1340" w:rsidRDefault="00ED0A0F" w:rsidP="008835E9">
            <w:pPr>
              <w:pStyle w:val="BodyRuller"/>
              <w:rPr>
                <w:rtl/>
              </w:rPr>
            </w:pPr>
            <w:r w:rsidRPr="000A1340">
              <w:rPr>
                <w:rFonts w:hint="cs"/>
                <w:rtl/>
              </w:rPr>
              <w:t>4. ממלאת מקום היועץ המשפטי לכנסת</w:t>
            </w:r>
          </w:p>
          <w:p w:rsidR="00ED0A0F" w:rsidRPr="000A1340" w:rsidRDefault="00ED0A0F" w:rsidP="008835E9">
            <w:pPr>
              <w:pStyle w:val="BodyRuller"/>
              <w:rPr>
                <w:rtl/>
              </w:rPr>
            </w:pPr>
            <w:r w:rsidRPr="000A1340">
              <w:rPr>
                <w:rFonts w:hint="cs"/>
                <w:rtl/>
              </w:rPr>
              <w:t>5. כנסת ישראל</w:t>
            </w:r>
          </w:p>
          <w:p w:rsidR="00ED0A0F" w:rsidRPr="000A1340" w:rsidRDefault="00ED0A0F" w:rsidP="008835E9">
            <w:pPr>
              <w:pStyle w:val="BodyRuller"/>
              <w:rPr>
                <w:rtl/>
              </w:rPr>
            </w:pPr>
            <w:r w:rsidRPr="000A1340">
              <w:rPr>
                <w:rFonts w:hint="cs"/>
                <w:rtl/>
              </w:rPr>
              <w:t>6. סיעת יש עתיד-תל"ם</w:t>
            </w:r>
          </w:p>
          <w:p w:rsidR="00ED0A0F" w:rsidRPr="000A1340" w:rsidRDefault="00ED0A0F" w:rsidP="008835E9">
            <w:pPr>
              <w:pStyle w:val="BodyRuller"/>
              <w:rPr>
                <w:rtl/>
              </w:rPr>
            </w:pPr>
            <w:r w:rsidRPr="000A1340">
              <w:rPr>
                <w:rFonts w:hint="cs"/>
                <w:rtl/>
              </w:rPr>
              <w:t>7. סיעת הרשימה המשותפת</w:t>
            </w:r>
          </w:p>
          <w:p w:rsidR="00ED0A0F" w:rsidRPr="000A1340" w:rsidRDefault="00ED0A0F" w:rsidP="008835E9">
            <w:pPr>
              <w:pStyle w:val="BodyRuller"/>
              <w:rPr>
                <w:rtl/>
              </w:rPr>
            </w:pPr>
            <w:r w:rsidRPr="000A1340">
              <w:rPr>
                <w:rFonts w:hint="cs"/>
                <w:rtl/>
              </w:rPr>
              <w:t>8. סיעת ש"ס</w:t>
            </w:r>
          </w:p>
          <w:p w:rsidR="00ED0A0F" w:rsidRPr="000A1340" w:rsidRDefault="00ED0A0F" w:rsidP="008835E9">
            <w:pPr>
              <w:pStyle w:val="BodyRuller"/>
              <w:rPr>
                <w:rtl/>
              </w:rPr>
            </w:pPr>
            <w:r w:rsidRPr="000A1340">
              <w:rPr>
                <w:rFonts w:hint="cs"/>
                <w:rtl/>
              </w:rPr>
              <w:t>9. סיעת יהדות התורה</w:t>
            </w:r>
          </w:p>
          <w:p w:rsidR="00ED0A0F" w:rsidRPr="000A1340" w:rsidRDefault="00ED0A0F" w:rsidP="008835E9">
            <w:pPr>
              <w:pStyle w:val="BodyRuller"/>
              <w:rPr>
                <w:rtl/>
              </w:rPr>
            </w:pPr>
            <w:r w:rsidRPr="000A1340">
              <w:rPr>
                <w:rFonts w:hint="cs"/>
                <w:rtl/>
              </w:rPr>
              <w:t>10. סיעת ישראל ביתנו</w:t>
            </w:r>
          </w:p>
          <w:p w:rsidR="00ED0A0F" w:rsidRPr="000A1340" w:rsidRDefault="00ED0A0F" w:rsidP="008835E9">
            <w:pPr>
              <w:pStyle w:val="BodyRuller"/>
              <w:rPr>
                <w:rtl/>
              </w:rPr>
            </w:pPr>
            <w:r w:rsidRPr="000A1340">
              <w:rPr>
                <w:rFonts w:hint="cs"/>
                <w:rtl/>
              </w:rPr>
              <w:t>11. סיעת ימינה</w:t>
            </w:r>
          </w:p>
          <w:p w:rsidR="00ED0A0F" w:rsidRPr="000A1340" w:rsidRDefault="00ED0A0F" w:rsidP="008835E9">
            <w:pPr>
              <w:pStyle w:val="BodyRuller"/>
              <w:rPr>
                <w:rtl/>
              </w:rPr>
            </w:pPr>
            <w:r w:rsidRPr="000A1340">
              <w:rPr>
                <w:rFonts w:hint="cs"/>
                <w:rtl/>
              </w:rPr>
              <w:t>12. סיעת העבודה</w:t>
            </w:r>
          </w:p>
          <w:p w:rsidR="00ED0A0F" w:rsidRPr="000A1340" w:rsidRDefault="00ED0A0F" w:rsidP="008835E9">
            <w:pPr>
              <w:pStyle w:val="BodyRuller"/>
              <w:rPr>
                <w:rtl/>
              </w:rPr>
            </w:pPr>
            <w:r w:rsidRPr="000A1340">
              <w:rPr>
                <w:rFonts w:hint="cs"/>
                <w:rtl/>
              </w:rPr>
              <w:t>13. סיעת מרצ</w:t>
            </w:r>
          </w:p>
          <w:p w:rsidR="00ED0A0F" w:rsidRPr="000A1340" w:rsidRDefault="00ED0A0F" w:rsidP="008835E9">
            <w:pPr>
              <w:pStyle w:val="BodyRuller"/>
              <w:rPr>
                <w:rtl/>
              </w:rPr>
            </w:pPr>
            <w:r w:rsidRPr="000A1340">
              <w:rPr>
                <w:rFonts w:hint="cs"/>
                <w:rtl/>
              </w:rPr>
              <w:t>14. סיעת גשר</w:t>
            </w:r>
          </w:p>
          <w:p w:rsidR="00ED0A0F" w:rsidRPr="000A1340" w:rsidRDefault="00ED0A0F" w:rsidP="008835E9">
            <w:pPr>
              <w:pStyle w:val="BodyRuller"/>
              <w:rPr>
                <w:rtl/>
              </w:rPr>
            </w:pPr>
            <w:r w:rsidRPr="000A1340">
              <w:rPr>
                <w:rFonts w:hint="cs"/>
                <w:rtl/>
              </w:rPr>
              <w:t>15. סיעת דרך ארץ</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1. הפורום המשפטי למען ישראל</w:t>
            </w:r>
          </w:p>
          <w:p w:rsidR="00ED0A0F" w:rsidRPr="000A1340" w:rsidRDefault="00ED0A0F" w:rsidP="008835E9">
            <w:pPr>
              <w:pStyle w:val="BodyRuller"/>
              <w:rPr>
                <w:rtl/>
              </w:rPr>
            </w:pPr>
            <w:r w:rsidRPr="000A1340">
              <w:rPr>
                <w:rFonts w:hint="cs"/>
                <w:rtl/>
              </w:rPr>
              <w:t>2. תנועת גדר לחיים</w:t>
            </w:r>
          </w:p>
          <w:p w:rsidR="00ED0A0F" w:rsidRPr="000A1340" w:rsidRDefault="00ED0A0F" w:rsidP="008835E9">
            <w:pPr>
              <w:pStyle w:val="BodyRuller"/>
              <w:rPr>
                <w:rtl/>
              </w:rPr>
            </w:pPr>
            <w:r w:rsidRPr="000A1340">
              <w:rPr>
                <w:rFonts w:hint="cs"/>
                <w:rtl/>
              </w:rPr>
              <w:t>3. עו"ד עקיבא נוף</w:t>
            </w:r>
          </w:p>
        </w:tc>
      </w:tr>
    </w:tbl>
    <w:p w:rsidR="00ED0A0F" w:rsidRPr="000A1340" w:rsidRDefault="00ED0A0F" w:rsidP="00ED0A0F">
      <w:pPr>
        <w:pStyle w:val="Ruller3"/>
      </w:pPr>
    </w:p>
    <w:tbl>
      <w:tblPr>
        <w:bidiVisual/>
        <w:tblW w:w="0" w:type="auto"/>
        <w:tblInd w:w="3209" w:type="dxa"/>
        <w:tblLook w:val="0000" w:firstRow="0" w:lastRow="0" w:firstColumn="0" w:lastColumn="0" w:noHBand="0" w:noVBand="0"/>
      </w:tblPr>
      <w:tblGrid>
        <w:gridCol w:w="5103"/>
      </w:tblGrid>
      <w:tr w:rsidR="00ED0A0F" w:rsidRPr="000A1340" w:rsidTr="008835E9">
        <w:tc>
          <w:tcPr>
            <w:tcW w:w="5103" w:type="dxa"/>
          </w:tcPr>
          <w:p w:rsidR="00ED0A0F" w:rsidRPr="000A1340" w:rsidRDefault="00ED0A0F" w:rsidP="008835E9">
            <w:pPr>
              <w:pStyle w:val="BodyRuller"/>
              <w:rPr>
                <w:sz w:val="24"/>
                <w:szCs w:val="24"/>
              </w:rPr>
            </w:pPr>
            <w:r w:rsidRPr="000A1340">
              <w:rPr>
                <w:sz w:val="24"/>
                <w:szCs w:val="24"/>
                <w:rtl/>
              </w:rPr>
              <w:t>התנגדות</w:t>
            </w:r>
            <w:r w:rsidRPr="000A1340">
              <w:rPr>
                <w:rFonts w:hint="cs"/>
                <w:sz w:val="24"/>
                <w:szCs w:val="24"/>
                <w:rtl/>
              </w:rPr>
              <w:t xml:space="preserve"> למתן צו על תנאי</w:t>
            </w:r>
          </w:p>
        </w:tc>
      </w:tr>
    </w:tbl>
    <w:p w:rsidR="00ED0A0F" w:rsidRPr="000A1340" w:rsidRDefault="00ED0A0F" w:rsidP="00ED0A0F">
      <w:pPr>
        <w:pStyle w:val="Ruller3"/>
        <w:rPr>
          <w:rtl/>
        </w:rPr>
      </w:pPr>
    </w:p>
    <w:p w:rsidR="00ED0A0F" w:rsidRPr="000A1340" w:rsidRDefault="00ED0A0F" w:rsidP="00ED0A0F">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ED0A0F" w:rsidRPr="000A1340" w:rsidTr="008835E9">
        <w:tc>
          <w:tcPr>
            <w:tcW w:w="3212" w:type="dxa"/>
            <w:tcBorders>
              <w:top w:val="nil"/>
              <w:left w:val="nil"/>
              <w:bottom w:val="nil"/>
              <w:right w:val="nil"/>
            </w:tcBorders>
          </w:tcPr>
          <w:p w:rsidR="00ED0A0F" w:rsidRPr="000A1340" w:rsidRDefault="00ED0A0F" w:rsidP="008835E9">
            <w:pPr>
              <w:pStyle w:val="BodyRuller"/>
              <w:rPr>
                <w:sz w:val="24"/>
                <w:szCs w:val="24"/>
              </w:rPr>
            </w:pPr>
            <w:r w:rsidRPr="000A1340">
              <w:rPr>
                <w:sz w:val="24"/>
                <w:szCs w:val="24"/>
                <w:rtl/>
              </w:rPr>
              <w:t>תארי</w:t>
            </w:r>
            <w:r w:rsidRPr="000A1340">
              <w:rPr>
                <w:rFonts w:hint="cs"/>
                <w:sz w:val="24"/>
                <w:szCs w:val="24"/>
                <w:rtl/>
              </w:rPr>
              <w:t xml:space="preserve">כי הישיבות: </w:t>
            </w:r>
          </w:p>
        </w:tc>
        <w:tc>
          <w:tcPr>
            <w:tcW w:w="2409" w:type="dxa"/>
            <w:tcBorders>
              <w:top w:val="nil"/>
              <w:left w:val="nil"/>
              <w:bottom w:val="nil"/>
              <w:right w:val="nil"/>
            </w:tcBorders>
          </w:tcPr>
          <w:p w:rsidR="00ED0A0F" w:rsidRPr="000A1340" w:rsidRDefault="00ED0A0F" w:rsidP="008835E9">
            <w:pPr>
              <w:pStyle w:val="BodyRuller"/>
              <w:rPr>
                <w:rtl/>
              </w:rPr>
            </w:pPr>
            <w:r w:rsidRPr="000A1340">
              <w:rPr>
                <w:sz w:val="24"/>
                <w:szCs w:val="24"/>
                <w:rtl/>
              </w:rPr>
              <w:t>ט' באייר התש"ף</w:t>
            </w:r>
            <w:r w:rsidRPr="000A1340">
              <w:t xml:space="preserve">       </w:t>
            </w:r>
          </w:p>
          <w:p w:rsidR="00ED0A0F" w:rsidRPr="000A1340" w:rsidRDefault="00ED0A0F" w:rsidP="008835E9">
            <w:pPr>
              <w:pStyle w:val="BodyRuller"/>
              <w:rPr>
                <w:rtl/>
              </w:rPr>
            </w:pPr>
            <w:r w:rsidRPr="000A1340">
              <w:rPr>
                <w:rFonts w:hint="cs"/>
                <w:sz w:val="18"/>
                <w:szCs w:val="24"/>
                <w:rtl/>
              </w:rPr>
              <w:t>י' באייר התש"ף</w:t>
            </w:r>
          </w:p>
        </w:tc>
        <w:tc>
          <w:tcPr>
            <w:tcW w:w="2694" w:type="dxa"/>
            <w:tcBorders>
              <w:top w:val="nil"/>
              <w:left w:val="nil"/>
              <w:bottom w:val="nil"/>
              <w:right w:val="nil"/>
            </w:tcBorders>
          </w:tcPr>
          <w:p w:rsidR="00ED0A0F" w:rsidRPr="000A1340" w:rsidRDefault="00ED0A0F" w:rsidP="008835E9">
            <w:pPr>
              <w:pStyle w:val="BodyRuller"/>
              <w:rPr>
                <w:rFonts w:ascii="David" w:hAnsi="David"/>
                <w:sz w:val="28"/>
                <w:szCs w:val="36"/>
                <w:rtl/>
              </w:rPr>
            </w:pPr>
            <w:r w:rsidRPr="000A1340">
              <w:rPr>
                <w:rFonts w:ascii="David" w:hAnsi="David"/>
                <w:sz w:val="24"/>
                <w:szCs w:val="32"/>
              </w:rPr>
              <w:t>(3.5.2020)</w:t>
            </w:r>
            <w:r w:rsidRPr="000A1340">
              <w:rPr>
                <w:rFonts w:ascii="David" w:hAnsi="David"/>
                <w:sz w:val="28"/>
                <w:szCs w:val="36"/>
              </w:rPr>
              <w:t xml:space="preserve"> </w:t>
            </w:r>
          </w:p>
          <w:p w:rsidR="00ED0A0F" w:rsidRPr="000A1340" w:rsidRDefault="00ED0A0F" w:rsidP="008835E9">
            <w:pPr>
              <w:pStyle w:val="BodyRuller"/>
              <w:rPr>
                <w:sz w:val="24"/>
                <w:szCs w:val="24"/>
                <w:rtl/>
              </w:rPr>
            </w:pPr>
            <w:r w:rsidRPr="000A1340">
              <w:rPr>
                <w:rFonts w:hint="cs"/>
                <w:sz w:val="20"/>
                <w:szCs w:val="26"/>
                <w:rtl/>
              </w:rPr>
              <w:t xml:space="preserve"> </w:t>
            </w:r>
            <w:r w:rsidRPr="000A1340">
              <w:rPr>
                <w:rFonts w:hint="cs"/>
                <w:sz w:val="18"/>
                <w:szCs w:val="24"/>
                <w:rtl/>
              </w:rPr>
              <w:t>(4.5.2020)</w:t>
            </w:r>
          </w:p>
        </w:tc>
      </w:tr>
    </w:tbl>
    <w:p w:rsidR="00ED0A0F" w:rsidRPr="000A1340" w:rsidRDefault="00ED0A0F" w:rsidP="00ED0A0F">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9"/>
        <w:gridCol w:w="5154"/>
      </w:tblGrid>
      <w:tr w:rsidR="00ED0A0F" w:rsidRPr="000A1340" w:rsidTr="008835E9">
        <w:tc>
          <w:tcPr>
            <w:tcW w:w="3257" w:type="dxa"/>
            <w:tcBorders>
              <w:top w:val="nil"/>
              <w:left w:val="nil"/>
              <w:bottom w:val="nil"/>
              <w:right w:val="nil"/>
            </w:tcBorders>
          </w:tcPr>
          <w:p w:rsidR="00ED0A0F" w:rsidRPr="000A1340" w:rsidRDefault="00ED0A0F" w:rsidP="008835E9">
            <w:pPr>
              <w:pStyle w:val="BodyRuller"/>
              <w:rPr>
                <w:rtl/>
              </w:rPr>
            </w:pPr>
            <w:r w:rsidRPr="000A1340">
              <w:rPr>
                <w:rtl/>
              </w:rPr>
              <w:t>בשם העותר</w:t>
            </w:r>
            <w:r w:rsidRPr="000A1340">
              <w:rPr>
                <w:rFonts w:hint="cs"/>
                <w:rtl/>
              </w:rPr>
              <w:t xml:space="preserve">ת </w:t>
            </w:r>
          </w:p>
          <w:p w:rsidR="00ED0A0F" w:rsidRPr="000A1340" w:rsidRDefault="00ED0A0F" w:rsidP="008835E9">
            <w:pPr>
              <w:pStyle w:val="BodyRuller"/>
              <w:rPr>
                <w:rtl/>
              </w:rPr>
            </w:pPr>
            <w:r w:rsidRPr="000A1340">
              <w:rPr>
                <w:rFonts w:hint="cs"/>
                <w:rtl/>
              </w:rPr>
              <w:t>בבג"ץ 2592/20</w:t>
            </w:r>
          </w:p>
          <w:p w:rsidR="00ED0A0F" w:rsidRPr="000A1340" w:rsidRDefault="00ED0A0F" w:rsidP="008835E9">
            <w:pPr>
              <w:pStyle w:val="BodyRuller"/>
              <w:rPr>
                <w:rtl/>
              </w:rPr>
            </w:pPr>
            <w:r w:rsidRPr="000A1340">
              <w:rPr>
                <w:rFonts w:hint="cs"/>
                <w:rtl/>
              </w:rPr>
              <w:t xml:space="preserve">ובבג"ץ 2677/20: </w:t>
            </w:r>
          </w:p>
          <w:p w:rsidR="00ED0A0F" w:rsidRPr="000A1340" w:rsidRDefault="00ED0A0F" w:rsidP="008835E9">
            <w:pPr>
              <w:pStyle w:val="BodyRuller"/>
              <w:rPr>
                <w:rtl/>
              </w:rPr>
            </w:pPr>
          </w:p>
          <w:p w:rsidR="00FD5BC0" w:rsidRDefault="00FD5BC0" w:rsidP="008835E9">
            <w:pPr>
              <w:pStyle w:val="BodyRuller"/>
              <w:rPr>
                <w:rtl/>
              </w:rPr>
            </w:pPr>
          </w:p>
          <w:p w:rsidR="00FD5BC0" w:rsidRDefault="00FD5BC0" w:rsidP="008835E9">
            <w:pPr>
              <w:pStyle w:val="BodyRuller"/>
              <w:rPr>
                <w:rtl/>
              </w:rPr>
            </w:pPr>
          </w:p>
          <w:p w:rsidR="00ED0A0F" w:rsidRPr="000A1340" w:rsidRDefault="00ED0A0F" w:rsidP="008835E9">
            <w:pPr>
              <w:pStyle w:val="BodyRuller"/>
              <w:rPr>
                <w:rtl/>
              </w:rPr>
            </w:pPr>
            <w:r w:rsidRPr="000A1340">
              <w:rPr>
                <w:rFonts w:hint="cs"/>
                <w:rtl/>
              </w:rPr>
              <w:t xml:space="preserve">בשם העותרים </w:t>
            </w:r>
          </w:p>
          <w:p w:rsidR="00ED0A0F" w:rsidRPr="000A1340" w:rsidRDefault="00ED0A0F" w:rsidP="008835E9">
            <w:pPr>
              <w:pStyle w:val="BodyRuller"/>
              <w:rPr>
                <w:rtl/>
              </w:rPr>
            </w:pPr>
            <w:r w:rsidRPr="000A1340">
              <w:rPr>
                <w:rFonts w:hint="cs"/>
                <w:rtl/>
              </w:rPr>
              <w:t>בבג"ץ 2593/20: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 xml:space="preserve">בשם העותרות </w:t>
            </w:r>
          </w:p>
          <w:p w:rsidR="00ED0A0F" w:rsidRPr="000A1340" w:rsidRDefault="00ED0A0F" w:rsidP="008835E9">
            <w:pPr>
              <w:pStyle w:val="BodyRuller"/>
              <w:rPr>
                <w:rtl/>
              </w:rPr>
            </w:pPr>
            <w:r w:rsidRPr="000A1340">
              <w:rPr>
                <w:rFonts w:hint="cs"/>
                <w:rtl/>
              </w:rPr>
              <w:t>בבג"ץ 2594/20:</w:t>
            </w:r>
          </w:p>
          <w:p w:rsidR="00ED0A0F" w:rsidRPr="000A1340" w:rsidRDefault="00ED0A0F" w:rsidP="008835E9">
            <w:pPr>
              <w:pStyle w:val="BodyRuller"/>
              <w:rPr>
                <w:rtl/>
              </w:rPr>
            </w:pPr>
          </w:p>
          <w:p w:rsidR="00ED0A0F" w:rsidRPr="000A1340" w:rsidRDefault="00ED0A0F" w:rsidP="008835E9">
            <w:pPr>
              <w:pStyle w:val="BodyRuller"/>
              <w:rPr>
                <w:rtl/>
              </w:rPr>
            </w:pPr>
            <w:r>
              <w:rPr>
                <w:rFonts w:hint="cs"/>
                <w:rtl/>
              </w:rPr>
              <w:t xml:space="preserve">בשם </w:t>
            </w:r>
            <w:r w:rsidRPr="000A1340">
              <w:rPr>
                <w:rFonts w:hint="cs"/>
                <w:rtl/>
              </w:rPr>
              <w:t>העותר</w:t>
            </w:r>
          </w:p>
          <w:p w:rsidR="00ED0A0F" w:rsidRPr="000A1340" w:rsidRDefault="00ED0A0F" w:rsidP="008835E9">
            <w:pPr>
              <w:pStyle w:val="BodyRuller"/>
              <w:rPr>
                <w:rtl/>
              </w:rPr>
            </w:pPr>
            <w:r w:rsidRPr="000A1340">
              <w:rPr>
                <w:rFonts w:hint="cs"/>
                <w:rtl/>
              </w:rPr>
              <w:t>בבג"ץ 2609/20: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העותרת</w:t>
            </w:r>
          </w:p>
          <w:p w:rsidR="00ED0A0F" w:rsidRPr="000A1340" w:rsidRDefault="00ED0A0F" w:rsidP="008835E9">
            <w:pPr>
              <w:pStyle w:val="BodyRuller"/>
              <w:rPr>
                <w:rtl/>
              </w:rPr>
            </w:pPr>
            <w:r w:rsidRPr="000A1340">
              <w:rPr>
                <w:rFonts w:hint="cs"/>
                <w:rtl/>
              </w:rPr>
              <w:t>בבג"ץ 2612/20: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 xml:space="preserve">בשם העותרת </w:t>
            </w:r>
          </w:p>
          <w:p w:rsidR="00ED0A0F" w:rsidRPr="000A1340" w:rsidRDefault="00ED0A0F" w:rsidP="008835E9">
            <w:pPr>
              <w:pStyle w:val="BodyRuller"/>
              <w:rPr>
                <w:rtl/>
              </w:rPr>
            </w:pPr>
            <w:r w:rsidRPr="000A1340">
              <w:rPr>
                <w:rFonts w:hint="cs"/>
                <w:rtl/>
              </w:rPr>
              <w:t>בבג"ץ 2649/20</w:t>
            </w:r>
          </w:p>
          <w:p w:rsidR="00ED0A0F" w:rsidRPr="000A1340" w:rsidRDefault="00ED0A0F" w:rsidP="008835E9">
            <w:pPr>
              <w:pStyle w:val="BodyRuller"/>
              <w:rPr>
                <w:rtl/>
              </w:rPr>
            </w:pPr>
            <w:r w:rsidRPr="000A1340">
              <w:rPr>
                <w:rFonts w:hint="cs"/>
                <w:rtl/>
              </w:rPr>
              <w:t>והמשיבה 8 בבג"ץ 2592/20: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העותרת</w:t>
            </w:r>
          </w:p>
          <w:p w:rsidR="00ED0A0F" w:rsidRPr="000A1340" w:rsidRDefault="00ED0A0F" w:rsidP="008835E9">
            <w:pPr>
              <w:pStyle w:val="BodyRuller"/>
              <w:rPr>
                <w:rtl/>
              </w:rPr>
            </w:pPr>
            <w:r w:rsidRPr="000A1340">
              <w:rPr>
                <w:rFonts w:hint="cs"/>
                <w:rtl/>
              </w:rPr>
              <w:t>בבג"ץ 2675/20: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המשיב 1</w:t>
            </w:r>
          </w:p>
          <w:p w:rsidR="00ED0A0F" w:rsidRPr="000A1340" w:rsidRDefault="00ED0A0F" w:rsidP="008835E9">
            <w:pPr>
              <w:pStyle w:val="BodyRuller"/>
              <w:rPr>
                <w:rtl/>
              </w:rPr>
            </w:pPr>
            <w:r w:rsidRPr="000A1340">
              <w:rPr>
                <w:rFonts w:hint="cs"/>
                <w:rtl/>
              </w:rPr>
              <w:t>בבג"ץ 2592/20: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המשיב  2</w:t>
            </w:r>
          </w:p>
          <w:p w:rsidR="00ED0A0F" w:rsidRPr="000A1340" w:rsidRDefault="00ED0A0F" w:rsidP="008835E9">
            <w:pPr>
              <w:pStyle w:val="BodyRuller"/>
              <w:rPr>
                <w:rtl/>
              </w:rPr>
            </w:pPr>
            <w:r w:rsidRPr="000A1340">
              <w:rPr>
                <w:rFonts w:hint="cs"/>
                <w:rtl/>
              </w:rPr>
              <w:t>בבג"ץ 2592/20: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המשיבים 3 ו-4</w:t>
            </w:r>
          </w:p>
          <w:p w:rsidR="00ED0A0F" w:rsidRPr="000A1340" w:rsidRDefault="00ED0A0F" w:rsidP="008835E9">
            <w:pPr>
              <w:pStyle w:val="BodyRuller"/>
              <w:rPr>
                <w:rtl/>
              </w:rPr>
            </w:pPr>
            <w:r w:rsidRPr="000A1340">
              <w:rPr>
                <w:rFonts w:hint="cs"/>
                <w:rtl/>
              </w:rPr>
              <w:t>בבג"ץ 2592/20: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המשיבה 5</w:t>
            </w:r>
          </w:p>
          <w:p w:rsidR="00ED0A0F" w:rsidRPr="000A1340" w:rsidRDefault="00ED0A0F" w:rsidP="008835E9">
            <w:pPr>
              <w:pStyle w:val="BodyRuller"/>
              <w:rPr>
                <w:rtl/>
              </w:rPr>
            </w:pPr>
            <w:r w:rsidRPr="000A1340">
              <w:rPr>
                <w:rFonts w:hint="cs"/>
                <w:rtl/>
              </w:rPr>
              <w:t>בבג"ץ 2592/20: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המשיבה 6</w:t>
            </w:r>
          </w:p>
          <w:p w:rsidR="00ED0A0F" w:rsidRPr="000A1340" w:rsidRDefault="00ED0A0F" w:rsidP="008835E9">
            <w:pPr>
              <w:pStyle w:val="BodyRuller"/>
              <w:rPr>
                <w:rtl/>
              </w:rPr>
            </w:pPr>
            <w:r w:rsidRPr="000A1340">
              <w:rPr>
                <w:rFonts w:hint="cs"/>
                <w:rtl/>
              </w:rPr>
              <w:t>בבג"ץ 2592/20: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 xml:space="preserve">בשם המשיבה 7 </w:t>
            </w:r>
          </w:p>
          <w:p w:rsidR="00ED0A0F" w:rsidRPr="000A1340" w:rsidRDefault="00ED0A0F" w:rsidP="008835E9">
            <w:pPr>
              <w:pStyle w:val="BodyRuller"/>
              <w:rPr>
                <w:rtl/>
              </w:rPr>
            </w:pPr>
            <w:r w:rsidRPr="000A1340">
              <w:rPr>
                <w:rFonts w:hint="cs"/>
                <w:rtl/>
              </w:rPr>
              <w:t xml:space="preserve">בבג"ץ 2592/20, </w:t>
            </w:r>
          </w:p>
          <w:p w:rsidR="00ED0A0F" w:rsidRPr="000A1340" w:rsidRDefault="00ED0A0F" w:rsidP="008835E9">
            <w:pPr>
              <w:pStyle w:val="BodyRuller"/>
              <w:rPr>
                <w:rtl/>
              </w:rPr>
            </w:pPr>
            <w:r w:rsidRPr="000A1340">
              <w:rPr>
                <w:rFonts w:hint="cs"/>
                <w:rtl/>
              </w:rPr>
              <w:t>המשיב 3 בבג"ץ 2592/20,</w:t>
            </w:r>
          </w:p>
          <w:p w:rsidR="00ED0A0F" w:rsidRPr="000A1340" w:rsidRDefault="00ED0A0F" w:rsidP="008835E9">
            <w:pPr>
              <w:pStyle w:val="BodyRuller"/>
              <w:rPr>
                <w:rtl/>
              </w:rPr>
            </w:pPr>
            <w:r w:rsidRPr="000A1340">
              <w:rPr>
                <w:rFonts w:hint="cs"/>
                <w:rtl/>
              </w:rPr>
              <w:t>המשיבה 12 בבג"ץ 2677/20</w:t>
            </w:r>
          </w:p>
          <w:p w:rsidR="00ED0A0F" w:rsidRPr="000A1340" w:rsidRDefault="00ED0A0F" w:rsidP="008835E9">
            <w:pPr>
              <w:pStyle w:val="BodyRuller"/>
              <w:rPr>
                <w:rtl/>
              </w:rPr>
            </w:pPr>
            <w:r w:rsidRPr="000A1340">
              <w:rPr>
                <w:rFonts w:hint="cs"/>
                <w:rtl/>
              </w:rPr>
              <w:t>והמשיבה 15 בבג"ץ 2677/20: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המשיבה 8</w:t>
            </w:r>
          </w:p>
          <w:p w:rsidR="00ED0A0F" w:rsidRPr="000A1340" w:rsidRDefault="00ED0A0F" w:rsidP="008835E9">
            <w:pPr>
              <w:pStyle w:val="BodyRuller"/>
              <w:rPr>
                <w:rtl/>
              </w:rPr>
            </w:pPr>
            <w:r w:rsidRPr="000A1340">
              <w:rPr>
                <w:rFonts w:hint="cs"/>
                <w:rtl/>
              </w:rPr>
              <w:t>בבג"ץ 2649/20:</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המבקש להצטרף 1:</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בשם המבקשת להצטרף 2:</w:t>
            </w:r>
          </w:p>
          <w:p w:rsidR="00ED0A0F" w:rsidRPr="000A1340" w:rsidRDefault="00ED0A0F" w:rsidP="008835E9">
            <w:pPr>
              <w:pStyle w:val="BodyRuller"/>
              <w:rPr>
                <w:rtl/>
              </w:rPr>
            </w:pPr>
          </w:p>
          <w:p w:rsidR="00ED0A0F" w:rsidRPr="000A1340" w:rsidRDefault="00ED0A0F" w:rsidP="008835E9">
            <w:pPr>
              <w:pStyle w:val="BodyRuller"/>
            </w:pPr>
            <w:r w:rsidRPr="000A1340">
              <w:rPr>
                <w:rFonts w:hint="cs"/>
                <w:rtl/>
              </w:rPr>
              <w:t>המבקש להצטרף 3:</w:t>
            </w:r>
          </w:p>
        </w:tc>
        <w:tc>
          <w:tcPr>
            <w:tcW w:w="5238" w:type="dxa"/>
            <w:tcBorders>
              <w:top w:val="nil"/>
              <w:left w:val="nil"/>
              <w:bottom w:val="nil"/>
              <w:right w:val="nil"/>
            </w:tcBorders>
          </w:tcPr>
          <w:p w:rsidR="00FD5BC0" w:rsidRDefault="00FD5BC0" w:rsidP="008835E9">
            <w:pPr>
              <w:pStyle w:val="BodyRuller"/>
              <w:rPr>
                <w:rtl/>
              </w:rPr>
            </w:pPr>
          </w:p>
          <w:p w:rsidR="00FD5BC0" w:rsidRDefault="00FD5BC0" w:rsidP="008835E9">
            <w:pPr>
              <w:pStyle w:val="BodyRuller"/>
              <w:rPr>
                <w:rtl/>
              </w:rPr>
            </w:pPr>
          </w:p>
          <w:p w:rsidR="00ED0A0F" w:rsidRPr="000A1340" w:rsidRDefault="00ED0A0F" w:rsidP="008835E9">
            <w:pPr>
              <w:pStyle w:val="BodyRuller"/>
              <w:rPr>
                <w:rtl/>
              </w:rPr>
            </w:pPr>
            <w:r w:rsidRPr="000A1340">
              <w:rPr>
                <w:rtl/>
              </w:rPr>
              <w:t xml:space="preserve">עו"ד </w:t>
            </w:r>
            <w:r w:rsidRPr="000A1340">
              <w:rPr>
                <w:rFonts w:hint="cs"/>
                <w:rtl/>
              </w:rPr>
              <w:t xml:space="preserve">ד"ר אליעד שרגא; עו"ד תומר נאור; </w:t>
            </w:r>
          </w:p>
          <w:p w:rsidR="00ED0A0F" w:rsidRPr="000A1340" w:rsidRDefault="00ED0A0F" w:rsidP="008835E9">
            <w:pPr>
              <w:pStyle w:val="BodyRuller"/>
              <w:rPr>
                <w:rtl/>
              </w:rPr>
            </w:pPr>
            <w:r w:rsidRPr="000A1340">
              <w:rPr>
                <w:rFonts w:hint="cs"/>
                <w:rtl/>
              </w:rPr>
              <w:t xml:space="preserve">עו"ד הידי נגב; עו"ד אריאל ברזילי; </w:t>
            </w:r>
          </w:p>
          <w:p w:rsidR="00ED0A0F" w:rsidRPr="000A1340" w:rsidRDefault="00ED0A0F" w:rsidP="008835E9">
            <w:pPr>
              <w:pStyle w:val="BodyRuller"/>
              <w:rPr>
                <w:rtl/>
              </w:rPr>
            </w:pPr>
            <w:r w:rsidRPr="000A1340">
              <w:rPr>
                <w:rFonts w:hint="cs"/>
                <w:rtl/>
              </w:rPr>
              <w:t xml:space="preserve">עו"ד שקד בן עמי; עו"ד אביתר אילון </w:t>
            </w: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דפנה הולץ-לכנר</w:t>
            </w:r>
          </w:p>
          <w:p w:rsidR="00ED0A0F" w:rsidRPr="000A1340" w:rsidRDefault="00ED0A0F" w:rsidP="008835E9">
            <w:pPr>
              <w:pStyle w:val="BodyRuller"/>
              <w:rPr>
                <w:rtl/>
              </w:rPr>
            </w:pPr>
          </w:p>
          <w:p w:rsidR="00FD5BC0" w:rsidRDefault="00FD5BC0" w:rsidP="008835E9">
            <w:pPr>
              <w:pStyle w:val="BodyRuller"/>
              <w:rPr>
                <w:rtl/>
              </w:rPr>
            </w:pPr>
          </w:p>
          <w:p w:rsidR="00ED0A0F" w:rsidRPr="000A1340" w:rsidRDefault="00ED0A0F" w:rsidP="008835E9">
            <w:pPr>
              <w:pStyle w:val="BodyRuller"/>
              <w:rPr>
                <w:rtl/>
              </w:rPr>
            </w:pPr>
            <w:r w:rsidRPr="000A1340">
              <w:rPr>
                <w:rFonts w:hint="cs"/>
                <w:rtl/>
              </w:rPr>
              <w:t>עו"ד יובל יועז; עו"ד אביגדור פלדמן;</w:t>
            </w:r>
          </w:p>
          <w:p w:rsidR="00ED0A0F" w:rsidRPr="000A1340" w:rsidRDefault="00ED0A0F" w:rsidP="008835E9">
            <w:pPr>
              <w:pStyle w:val="BodyRuller"/>
              <w:rPr>
                <w:rtl/>
              </w:rPr>
            </w:pPr>
            <w:r w:rsidRPr="000A1340">
              <w:rPr>
                <w:rFonts w:hint="cs"/>
                <w:rtl/>
              </w:rPr>
              <w:t>עו"ד דורון ברקת; עו"ד אוהד שפק</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בעצמו</w:t>
            </w:r>
            <w:r>
              <w:rPr>
                <w:rFonts w:hint="cs"/>
                <w:rtl/>
              </w:rPr>
              <w:t>; עו"ד עביר חריש רפול</w:t>
            </w: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אביה אלף; עו"ד בעז ארד</w:t>
            </w: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עודד גזית; עו"ד אלירם בקל</w:t>
            </w: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יפעת סולל</w:t>
            </w:r>
          </w:p>
          <w:p w:rsidR="00ED0A0F" w:rsidRPr="000A1340" w:rsidRDefault="00ED0A0F" w:rsidP="008835E9">
            <w:pPr>
              <w:pStyle w:val="BodyRuller"/>
              <w:rPr>
                <w:rtl/>
              </w:rPr>
            </w:pPr>
          </w:p>
          <w:p w:rsidR="00FD5BC0" w:rsidRDefault="00FD5BC0" w:rsidP="008835E9">
            <w:pPr>
              <w:pStyle w:val="BodyRuller"/>
              <w:rPr>
                <w:rtl/>
              </w:rPr>
            </w:pPr>
          </w:p>
          <w:p w:rsidR="00ED0A0F" w:rsidRPr="000A1340" w:rsidRDefault="00ED0A0F" w:rsidP="008835E9">
            <w:pPr>
              <w:pStyle w:val="BodyRuller"/>
              <w:rPr>
                <w:rtl/>
              </w:rPr>
            </w:pPr>
            <w:r w:rsidRPr="000A1340">
              <w:rPr>
                <w:rFonts w:hint="cs"/>
                <w:rtl/>
              </w:rPr>
              <w:t>עו"ד ענר הלמן; עו"ד רן רוזנברג;</w:t>
            </w:r>
          </w:p>
          <w:p w:rsidR="00ED0A0F" w:rsidRPr="000A1340" w:rsidRDefault="00ED0A0F" w:rsidP="008835E9">
            <w:pPr>
              <w:pStyle w:val="BodyRuller"/>
              <w:rPr>
                <w:rtl/>
              </w:rPr>
            </w:pPr>
            <w:r w:rsidRPr="000A1340">
              <w:rPr>
                <w:rFonts w:hint="cs"/>
                <w:rtl/>
              </w:rPr>
              <w:t>עו"ד אבישי קראוס; עו"ד אודי איתן</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מיכאל ראבילו; עו"ד אבי הלוי;</w:t>
            </w:r>
          </w:p>
          <w:p w:rsidR="00ED0A0F" w:rsidRPr="000A1340" w:rsidRDefault="00ED0A0F" w:rsidP="008835E9">
            <w:pPr>
              <w:pStyle w:val="BodyRuller"/>
              <w:rPr>
                <w:rtl/>
              </w:rPr>
            </w:pPr>
            <w:r w:rsidRPr="000A1340">
              <w:rPr>
                <w:rFonts w:hint="cs"/>
                <w:rtl/>
              </w:rPr>
              <w:t>עו"ד רועי שכטר; עו"ד אופק ברוק</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אביטל סומפולינסקי</w:t>
            </w: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אודית קורינלדי-סירקיס</w:t>
            </w:r>
          </w:p>
          <w:p w:rsidR="00ED0A0F" w:rsidRPr="000A1340" w:rsidRDefault="00ED0A0F" w:rsidP="008835E9">
            <w:pPr>
              <w:pStyle w:val="BodyRuller"/>
              <w:rPr>
                <w:rtl/>
              </w:rPr>
            </w:pPr>
          </w:p>
          <w:p w:rsidR="00FD5BC0" w:rsidRDefault="00FD5BC0" w:rsidP="008835E9">
            <w:pPr>
              <w:pStyle w:val="BodyRuller"/>
              <w:rPr>
                <w:rtl/>
              </w:rPr>
            </w:pPr>
          </w:p>
          <w:p w:rsidR="00ED0A0F" w:rsidRPr="000A1340" w:rsidRDefault="00ED0A0F" w:rsidP="008835E9">
            <w:pPr>
              <w:pStyle w:val="BodyRuller"/>
              <w:rPr>
                <w:rtl/>
              </w:rPr>
            </w:pPr>
            <w:r w:rsidRPr="000A1340">
              <w:rPr>
                <w:rFonts w:hint="cs"/>
                <w:rtl/>
              </w:rPr>
              <w:t xml:space="preserve">עו"ד אבי הלוי; עו"ד מיכאל ראבילו; </w:t>
            </w:r>
          </w:p>
          <w:p w:rsidR="00ED0A0F" w:rsidRPr="000A1340" w:rsidRDefault="00ED0A0F" w:rsidP="008835E9">
            <w:pPr>
              <w:pStyle w:val="BodyRuller"/>
              <w:rPr>
                <w:rtl/>
              </w:rPr>
            </w:pPr>
            <w:r w:rsidRPr="000A1340">
              <w:rPr>
                <w:rFonts w:hint="cs"/>
                <w:rtl/>
              </w:rPr>
              <w:t xml:space="preserve">עו"ד ניבה הלוי </w:t>
            </w: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ערן מרינברג; עו"ד שמעון בראון;</w:t>
            </w:r>
          </w:p>
          <w:p w:rsidR="00ED0A0F" w:rsidRPr="000A1340" w:rsidRDefault="00ED0A0F" w:rsidP="008835E9">
            <w:pPr>
              <w:pStyle w:val="BodyRuller"/>
              <w:rPr>
                <w:rtl/>
              </w:rPr>
            </w:pPr>
            <w:r w:rsidRPr="000A1340">
              <w:rPr>
                <w:rFonts w:hint="cs"/>
                <w:rtl/>
              </w:rPr>
              <w:t>עו"ד עומרי שגב</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 xml:space="preserve">עו"ד אורי הברמן </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 xml:space="preserve">עו"ד נבון קצב; עו"ד יותם אייל </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עו"ד אילן ציאון</w:t>
            </w:r>
          </w:p>
          <w:p w:rsidR="00ED0A0F" w:rsidRPr="000A1340" w:rsidRDefault="00ED0A0F" w:rsidP="008835E9">
            <w:pPr>
              <w:pStyle w:val="BodyRuller"/>
              <w:rPr>
                <w:rtl/>
              </w:rPr>
            </w:pPr>
          </w:p>
          <w:p w:rsidR="00ED0A0F" w:rsidRPr="000A1340" w:rsidRDefault="00ED0A0F" w:rsidP="008835E9">
            <w:pPr>
              <w:pStyle w:val="BodyRuller"/>
              <w:rPr>
                <w:rtl/>
              </w:rPr>
            </w:pPr>
            <w:r w:rsidRPr="000A1340">
              <w:rPr>
                <w:rFonts w:hint="cs"/>
                <w:rtl/>
              </w:rPr>
              <w:t>בעצמו</w:t>
            </w:r>
          </w:p>
          <w:p w:rsidR="00ED0A0F" w:rsidRPr="000A1340" w:rsidRDefault="00ED0A0F" w:rsidP="008835E9">
            <w:pPr>
              <w:pStyle w:val="BodyRuller"/>
            </w:pPr>
          </w:p>
        </w:tc>
      </w:tr>
    </w:tbl>
    <w:p w:rsidR="00916FF8" w:rsidRDefault="00916FF8">
      <w:pPr>
        <w:tabs>
          <w:tab w:val="left" w:pos="2552"/>
        </w:tabs>
        <w:rPr>
          <w:rtl/>
        </w:rPr>
      </w:pPr>
    </w:p>
    <w:p w:rsidR="00ED0A0F" w:rsidRDefault="00ED0A0F">
      <w:pPr>
        <w:tabs>
          <w:tab w:val="left" w:pos="2552"/>
        </w:tabs>
        <w:rPr>
          <w:rtl/>
        </w:rPr>
      </w:pPr>
    </w:p>
    <w:p w:rsidR="001469FE" w:rsidRDefault="001469FE">
      <w:pPr>
        <w:overflowPunct/>
        <w:autoSpaceDE/>
        <w:autoSpaceDN/>
        <w:bidi w:val="0"/>
        <w:adjustRightInd/>
        <w:textAlignment w:val="auto"/>
        <w:rPr>
          <w:rtl/>
        </w:rPr>
      </w:pPr>
      <w:r>
        <w:rPr>
          <w:rtl/>
        </w:rPr>
        <w:br w:type="page"/>
      </w:r>
    </w:p>
    <w:p w:rsidR="00ED0A0F" w:rsidRDefault="00ED0A0F">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ED0A0F">
            <w:pPr>
              <w:pStyle w:val="DocumentHead"/>
            </w:pPr>
            <w:bookmarkStart w:id="2" w:name="secretary"/>
            <w:bookmarkStart w:id="3" w:name="BeginProtocol"/>
            <w:bookmarkEnd w:id="2"/>
            <w:bookmarkEnd w:id="3"/>
            <w:r>
              <w:rPr>
                <w:rtl/>
              </w:rPr>
              <w:t>פסק-דין</w:t>
            </w:r>
            <w:r>
              <w:rPr>
                <w:rFonts w:hint="cs"/>
                <w:rtl/>
              </w:rPr>
              <w:t xml:space="preserve"> משלים</w:t>
            </w:r>
          </w:p>
        </w:tc>
      </w:tr>
    </w:tbl>
    <w:p w:rsidR="0065522F" w:rsidRDefault="0065522F">
      <w:pPr>
        <w:pStyle w:val="BODYVERDICT"/>
      </w:pPr>
    </w:p>
    <w:p w:rsidR="00ED0A0F" w:rsidRPr="000A1340" w:rsidRDefault="00ED0A0F" w:rsidP="00ED0A0F">
      <w:pPr>
        <w:pStyle w:val="BODYVERDICT"/>
        <w:rPr>
          <w:rFonts w:cs="Miriam"/>
          <w:sz w:val="24"/>
          <w:szCs w:val="24"/>
          <w:u w:val="single"/>
          <w:rtl/>
        </w:rPr>
      </w:pPr>
      <w:bookmarkStart w:id="4" w:name="Writer_Name"/>
      <w:bookmarkEnd w:id="4"/>
      <w:r w:rsidRPr="000A1340">
        <w:rPr>
          <w:rFonts w:cs="Miriam"/>
          <w:sz w:val="24"/>
          <w:szCs w:val="24"/>
          <w:u w:val="single"/>
          <w:rtl/>
        </w:rPr>
        <w:t>הנשיאה א' חיות:</w:t>
      </w:r>
    </w:p>
    <w:p w:rsidR="00ED0A0F" w:rsidRPr="000A1340" w:rsidRDefault="00ED0A0F" w:rsidP="00ED0A0F">
      <w:pPr>
        <w:pStyle w:val="Ruller40"/>
        <w:rPr>
          <w:rtl/>
        </w:rPr>
      </w:pPr>
    </w:p>
    <w:p w:rsidR="00ED0A0F" w:rsidRPr="000A1340" w:rsidRDefault="00ED0A0F" w:rsidP="00ED0A0F">
      <w:pPr>
        <w:rPr>
          <w:rtl/>
        </w:rPr>
      </w:pPr>
    </w:p>
    <w:p w:rsidR="00454C34" w:rsidRPr="00894C7C" w:rsidRDefault="0057684A" w:rsidP="00454C34">
      <w:pPr>
        <w:pStyle w:val="Ruller4"/>
        <w:numPr>
          <w:ilvl w:val="0"/>
          <w:numId w:val="0"/>
        </w:numPr>
        <w:rPr>
          <w:rFonts w:ascii="Century" w:hAnsi="Century"/>
          <w:sz w:val="22"/>
          <w:rtl/>
        </w:rPr>
      </w:pPr>
      <w:r>
        <w:rPr>
          <w:rtl/>
        </w:rPr>
        <w:tab/>
      </w:r>
      <w:r w:rsidR="00454C34" w:rsidRPr="00894C7C">
        <w:rPr>
          <w:rFonts w:ascii="Century" w:hAnsi="Century"/>
          <w:sz w:val="22"/>
          <w:rtl/>
        </w:rPr>
        <w:t xml:space="preserve">ביום י"ב באייר התש"ף, </w:t>
      </w:r>
      <w:r w:rsidR="00454C34" w:rsidRPr="00894C7C">
        <w:rPr>
          <w:rFonts w:ascii="Century" w:hAnsi="Century" w:hint="cs"/>
          <w:sz w:val="22"/>
          <w:rtl/>
        </w:rPr>
        <w:t xml:space="preserve">6.5.2020, </w:t>
      </w:r>
      <w:r w:rsidR="00454C34" w:rsidRPr="00894C7C">
        <w:rPr>
          <w:rFonts w:ascii="Century" w:hAnsi="Century"/>
          <w:sz w:val="22"/>
          <w:rtl/>
        </w:rPr>
        <w:t>ניתן על ידינו</w:t>
      </w:r>
      <w:r w:rsidR="00454C34" w:rsidRPr="00894C7C">
        <w:rPr>
          <w:rFonts w:ascii="Century" w:hAnsi="Century" w:hint="cs"/>
          <w:sz w:val="22"/>
          <w:rtl/>
        </w:rPr>
        <w:t>,</w:t>
      </w:r>
      <w:r w:rsidR="00454C34" w:rsidRPr="00894C7C">
        <w:rPr>
          <w:rFonts w:ascii="Century" w:hAnsi="Century"/>
          <w:sz w:val="22"/>
          <w:rtl/>
        </w:rPr>
        <w:t xml:space="preserve"> פה אחד</w:t>
      </w:r>
      <w:r w:rsidR="00454C34" w:rsidRPr="00894C7C">
        <w:rPr>
          <w:rFonts w:ascii="Century" w:hAnsi="Century" w:hint="cs"/>
          <w:sz w:val="22"/>
          <w:rtl/>
        </w:rPr>
        <w:t>,</w:t>
      </w:r>
      <w:r w:rsidR="00454C34" w:rsidRPr="00894C7C">
        <w:rPr>
          <w:rFonts w:ascii="Century" w:hAnsi="Century"/>
          <w:sz w:val="22"/>
          <w:rtl/>
        </w:rPr>
        <w:t xml:space="preserve"> פסק דין הדוחה את העתירות דנן. עתירות אלה נוגעות להטלת מלאכת הרכבת הממשלה על חבר הכנסת בנימין נתניהו </w:t>
      </w:r>
      <w:r w:rsidR="00454C34" w:rsidRPr="00894C7C">
        <w:rPr>
          <w:rFonts w:ascii="Century" w:hAnsi="Century" w:hint="cs"/>
          <w:sz w:val="22"/>
          <w:rtl/>
        </w:rPr>
        <w:t>העומד לדין</w:t>
      </w:r>
      <w:r w:rsidR="00454C34" w:rsidRPr="00894C7C">
        <w:rPr>
          <w:rFonts w:ascii="Century" w:hAnsi="Century"/>
          <w:sz w:val="22"/>
          <w:rtl/>
        </w:rPr>
        <w:t xml:space="preserve"> בעבירות על טוהר המידות; וכן להסכם הקואליציוני שנחתם ביום 20.4.2020 בין סיעת הליכוד לסיעת כחול לבן, לגביו נטען כי הוא נוגד עקרונות חוקתיים וחוקיים וסותר את תקנת הציבור. </w:t>
      </w:r>
    </w:p>
    <w:p w:rsidR="00454C34" w:rsidRPr="00894C7C" w:rsidRDefault="00454C34" w:rsidP="00454C34">
      <w:pPr>
        <w:pStyle w:val="Ruller4"/>
        <w:numPr>
          <w:ilvl w:val="0"/>
          <w:numId w:val="0"/>
        </w:numPr>
        <w:rPr>
          <w:rFonts w:ascii="Century" w:hAnsi="Century"/>
          <w:sz w:val="22"/>
          <w:rtl/>
        </w:rPr>
      </w:pPr>
    </w:p>
    <w:p w:rsidR="00454C34" w:rsidRPr="00894C7C" w:rsidRDefault="00454C34" w:rsidP="008A250A">
      <w:pPr>
        <w:pStyle w:val="Ruller4"/>
        <w:numPr>
          <w:ilvl w:val="0"/>
          <w:numId w:val="0"/>
        </w:numPr>
        <w:rPr>
          <w:rFonts w:ascii="Century" w:hAnsi="Century"/>
          <w:sz w:val="22"/>
          <w:rtl/>
        </w:rPr>
      </w:pPr>
      <w:r w:rsidRPr="00894C7C">
        <w:rPr>
          <w:rFonts w:ascii="Century" w:hAnsi="Century"/>
          <w:sz w:val="22"/>
          <w:rtl/>
        </w:rPr>
        <w:tab/>
      </w:r>
      <w:r w:rsidRPr="00894C7C">
        <w:rPr>
          <w:rFonts w:ascii="Century" w:hAnsi="Century" w:hint="cs"/>
          <w:sz w:val="22"/>
          <w:rtl/>
        </w:rPr>
        <w:t xml:space="preserve">בשל סד הזמנים הדוחק פורטו בפסק הדין הנ"ל עיקר הנימוקים וכפי שצוין בסעיף 1 לפסק הדין הותרנו "למועד מאוחר יותר את מתן פסק הדין המשלים ובו הנימוקים המפורטים שייכתבו על ידי מי מאיתנו שימצא זאת לנכון, כל אחד וטעמיו". לפיכך, </w:t>
      </w:r>
      <w:r w:rsidRPr="00894C7C">
        <w:rPr>
          <w:rFonts w:ascii="Century" w:hAnsi="Century"/>
          <w:sz w:val="22"/>
          <w:rtl/>
        </w:rPr>
        <w:t xml:space="preserve">ניתן </w:t>
      </w:r>
      <w:r w:rsidRPr="00894C7C">
        <w:rPr>
          <w:rFonts w:ascii="Century" w:hAnsi="Century" w:hint="cs"/>
          <w:sz w:val="22"/>
          <w:rtl/>
        </w:rPr>
        <w:t xml:space="preserve">עתה </w:t>
      </w:r>
      <w:r w:rsidRPr="00894C7C">
        <w:rPr>
          <w:rFonts w:ascii="Century" w:hAnsi="Century"/>
          <w:sz w:val="22"/>
          <w:rtl/>
        </w:rPr>
        <w:t>פסק דין משלים אשר בו מפ</w:t>
      </w:r>
      <w:r w:rsidRPr="00894C7C">
        <w:rPr>
          <w:rFonts w:ascii="Century" w:hAnsi="Century" w:hint="cs"/>
          <w:sz w:val="22"/>
          <w:rtl/>
        </w:rPr>
        <w:t>רטים חבריי להרכב</w:t>
      </w:r>
      <w:r w:rsidRPr="00894C7C">
        <w:rPr>
          <w:rFonts w:ascii="Century" w:hAnsi="Century"/>
          <w:sz w:val="22"/>
          <w:rtl/>
        </w:rPr>
        <w:t xml:space="preserve"> </w:t>
      </w:r>
      <w:r w:rsidRPr="00894C7C">
        <w:rPr>
          <w:rFonts w:ascii="Century" w:hAnsi="Century" w:hint="cs"/>
          <w:sz w:val="22"/>
          <w:rtl/>
        </w:rPr>
        <w:t xml:space="preserve">את </w:t>
      </w:r>
      <w:r w:rsidRPr="00894C7C">
        <w:rPr>
          <w:rFonts w:ascii="Century" w:hAnsi="Century"/>
          <w:sz w:val="22"/>
          <w:rtl/>
        </w:rPr>
        <w:t xml:space="preserve">הטעמים שהובילו </w:t>
      </w:r>
      <w:r w:rsidRPr="00894C7C">
        <w:rPr>
          <w:rFonts w:ascii="Century" w:hAnsi="Century" w:hint="cs"/>
          <w:sz w:val="22"/>
          <w:rtl/>
        </w:rPr>
        <w:t xml:space="preserve">כל אחד ואחת מהם </w:t>
      </w:r>
      <w:r w:rsidRPr="00894C7C">
        <w:rPr>
          <w:rFonts w:ascii="Century" w:hAnsi="Century"/>
          <w:sz w:val="22"/>
          <w:rtl/>
        </w:rPr>
        <w:t>לתוצאה שאליה הגענו. טעמיי שלי פורטו בפסק הדין מיום 6.5.2020 ולא ראיתי להוסיף עליהם.</w:t>
      </w:r>
      <w:r w:rsidR="00FC2FB3">
        <w:rPr>
          <w:rFonts w:ascii="Century" w:hAnsi="Century" w:hint="cs"/>
          <w:sz w:val="22"/>
          <w:rtl/>
        </w:rPr>
        <w:t xml:space="preserve"> אני מצטרפת להערות </w:t>
      </w:r>
      <w:r w:rsidR="008A250A">
        <w:rPr>
          <w:rFonts w:ascii="Century" w:hAnsi="Century" w:hint="cs"/>
          <w:sz w:val="22"/>
          <w:rtl/>
        </w:rPr>
        <w:t>של חלק מ</w:t>
      </w:r>
      <w:r w:rsidR="00FC2FB3">
        <w:rPr>
          <w:rFonts w:ascii="Century" w:hAnsi="Century" w:hint="cs"/>
          <w:sz w:val="22"/>
          <w:rtl/>
        </w:rPr>
        <w:t xml:space="preserve">חבריי </w:t>
      </w:r>
      <w:r w:rsidR="008A250A">
        <w:rPr>
          <w:rFonts w:ascii="Century" w:hAnsi="Century" w:hint="cs"/>
          <w:sz w:val="22"/>
          <w:rtl/>
        </w:rPr>
        <w:t>בדבר ה</w:t>
      </w:r>
      <w:r w:rsidR="00857185">
        <w:rPr>
          <w:rFonts w:ascii="Century" w:hAnsi="Century" w:hint="cs"/>
          <w:sz w:val="22"/>
          <w:rtl/>
        </w:rPr>
        <w:t>צורך</w:t>
      </w:r>
      <w:r w:rsidR="00FC2FB3">
        <w:rPr>
          <w:rFonts w:ascii="Century" w:hAnsi="Century" w:hint="cs"/>
          <w:sz w:val="22"/>
          <w:rtl/>
        </w:rPr>
        <w:t xml:space="preserve"> להסדיר לעתיד לבוא </w:t>
      </w:r>
      <w:r w:rsidR="00857185">
        <w:rPr>
          <w:rFonts w:ascii="Century" w:hAnsi="Century" w:hint="cs"/>
          <w:sz w:val="22"/>
          <w:rtl/>
        </w:rPr>
        <w:t>בחקיקה</w:t>
      </w:r>
      <w:r w:rsidR="00FC2FB3">
        <w:rPr>
          <w:rFonts w:ascii="Century" w:hAnsi="Century" w:hint="cs"/>
          <w:sz w:val="22"/>
          <w:rtl/>
        </w:rPr>
        <w:t xml:space="preserve"> </w:t>
      </w:r>
      <w:r w:rsidR="008A250A">
        <w:rPr>
          <w:rFonts w:ascii="Century" w:hAnsi="Century" w:hint="cs"/>
          <w:sz w:val="22"/>
          <w:rtl/>
        </w:rPr>
        <w:t xml:space="preserve">מתאימה </w:t>
      </w:r>
      <w:r w:rsidR="00FC2FB3">
        <w:rPr>
          <w:rFonts w:ascii="Century" w:hAnsi="Century" w:hint="cs"/>
          <w:sz w:val="22"/>
          <w:rtl/>
        </w:rPr>
        <w:t>את הסוגיה הנוגעת להטלת מלאכת הרכבת הממשלה על חבר כנסת הנאשם בעבירות חמורות שיש עמן קלון.</w:t>
      </w:r>
      <w:r w:rsidR="008A250A">
        <w:rPr>
          <w:rFonts w:ascii="Century" w:hAnsi="Century" w:hint="cs"/>
          <w:sz w:val="22"/>
          <w:rtl/>
        </w:rPr>
        <w:t xml:space="preserve"> זאת</w:t>
      </w:r>
      <w:r w:rsidR="00861951">
        <w:rPr>
          <w:rFonts w:ascii="Century" w:hAnsi="Century" w:hint="cs"/>
          <w:sz w:val="22"/>
          <w:rtl/>
        </w:rPr>
        <w:t>,</w:t>
      </w:r>
      <w:r w:rsidR="008A250A">
        <w:rPr>
          <w:rFonts w:ascii="Century" w:hAnsi="Century" w:hint="cs"/>
          <w:sz w:val="22"/>
          <w:rtl/>
        </w:rPr>
        <w:t xml:space="preserve"> על מנת ליתן ביטוי ועיגון משפטי להיבטים </w:t>
      </w:r>
      <w:r w:rsidR="00CB1788">
        <w:rPr>
          <w:rFonts w:ascii="Century" w:hAnsi="Century" w:hint="cs"/>
          <w:sz w:val="22"/>
          <w:rtl/>
        </w:rPr>
        <w:t>הציבוריים ו</w:t>
      </w:r>
      <w:r w:rsidR="008A250A">
        <w:rPr>
          <w:rFonts w:ascii="Century" w:hAnsi="Century" w:hint="cs"/>
          <w:sz w:val="22"/>
          <w:rtl/>
        </w:rPr>
        <w:t>הערכיים שמעלה סוגיה זו.</w:t>
      </w:r>
    </w:p>
    <w:p w:rsidR="001649D2" w:rsidRDefault="001649D2" w:rsidP="00454C34">
      <w:pPr>
        <w:pStyle w:val="Ruller4"/>
        <w:numPr>
          <w:ilvl w:val="0"/>
          <w:numId w:val="0"/>
        </w:numPr>
        <w:rPr>
          <w:rtl/>
        </w:rPr>
      </w:pPr>
    </w:p>
    <w:tbl>
      <w:tblPr>
        <w:bidiVisual/>
        <w:tblW w:w="8363" w:type="dxa"/>
        <w:tblLook w:val="01E0" w:firstRow="1" w:lastRow="1" w:firstColumn="1" w:lastColumn="1" w:noHBand="0" w:noVBand="0"/>
      </w:tblPr>
      <w:tblGrid>
        <w:gridCol w:w="2786"/>
        <w:gridCol w:w="2787"/>
        <w:gridCol w:w="2790"/>
      </w:tblGrid>
      <w:tr w:rsidR="00773CDB" w:rsidRPr="000A1340" w:rsidTr="008835E9">
        <w:tc>
          <w:tcPr>
            <w:tcW w:w="2842" w:type="dxa"/>
            <w:hideMark/>
          </w:tcPr>
          <w:p w:rsidR="00773CDB" w:rsidRPr="000A1340" w:rsidRDefault="00773CDB" w:rsidP="008835E9">
            <w:pPr>
              <w:pStyle w:val="Ruller40"/>
            </w:pPr>
          </w:p>
        </w:tc>
        <w:tc>
          <w:tcPr>
            <w:tcW w:w="2843" w:type="dxa"/>
            <w:hideMark/>
          </w:tcPr>
          <w:p w:rsidR="00773CDB" w:rsidRPr="000A1340" w:rsidRDefault="00773CDB" w:rsidP="008835E9">
            <w:pPr>
              <w:pStyle w:val="Ruller40"/>
              <w:jc w:val="center"/>
              <w:rPr>
                <w:rtl/>
              </w:rPr>
            </w:pPr>
          </w:p>
        </w:tc>
        <w:tc>
          <w:tcPr>
            <w:tcW w:w="2843" w:type="dxa"/>
            <w:hideMark/>
          </w:tcPr>
          <w:p w:rsidR="00773CDB" w:rsidRPr="000A1340" w:rsidRDefault="00773CDB" w:rsidP="008835E9">
            <w:pPr>
              <w:pStyle w:val="Ruller40"/>
              <w:jc w:val="center"/>
              <w:rPr>
                <w:rtl/>
              </w:rPr>
            </w:pPr>
            <w:r>
              <w:rPr>
                <w:rFonts w:hint="cs"/>
                <w:rtl/>
              </w:rPr>
              <w:t xml:space="preserve">ה נ ש י א ה </w:t>
            </w:r>
            <w:r w:rsidRPr="000A1340">
              <w:rPr>
                <w:rtl/>
              </w:rPr>
              <w:t xml:space="preserve"> </w:t>
            </w:r>
          </w:p>
        </w:tc>
      </w:tr>
    </w:tbl>
    <w:p w:rsidR="00773CDB" w:rsidRDefault="00773CDB" w:rsidP="00773CDB">
      <w:pPr>
        <w:pStyle w:val="Ruller40"/>
        <w:rPr>
          <w:rtl/>
        </w:rPr>
      </w:pPr>
    </w:p>
    <w:p w:rsidR="00503E45" w:rsidRPr="00503A3E" w:rsidRDefault="00503E45" w:rsidP="00503E45">
      <w:pPr>
        <w:pStyle w:val="BODYVERDICT"/>
        <w:rPr>
          <w:rFonts w:cs="Miriam"/>
          <w:sz w:val="24"/>
          <w:szCs w:val="24"/>
          <w:u w:val="single"/>
          <w:rtl/>
        </w:rPr>
      </w:pPr>
      <w:r>
        <w:rPr>
          <w:rFonts w:cs="Miriam"/>
          <w:sz w:val="24"/>
          <w:szCs w:val="24"/>
          <w:u w:val="single"/>
          <w:rtl/>
        </w:rPr>
        <w:t>השופט י' עמית</w:t>
      </w:r>
      <w:r w:rsidRPr="001A1BDA">
        <w:rPr>
          <w:rFonts w:cs="Miriam"/>
          <w:sz w:val="24"/>
          <w:szCs w:val="24"/>
          <w:rtl/>
        </w:rPr>
        <w:t>:</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אני מסכים לתוצאה ולנימוקים של חברתי, הנשיאה השופטת </w:t>
      </w:r>
      <w:r w:rsidRPr="009A7028">
        <w:rPr>
          <w:rFonts w:ascii="Century" w:hAnsi="Century" w:cs="Miriam" w:hint="cs"/>
          <w:b/>
          <w:spacing w:val="0"/>
          <w:szCs w:val="24"/>
          <w:rtl/>
        </w:rPr>
        <w:t>א' חיות</w:t>
      </w:r>
      <w:r w:rsidRPr="00FB75A2">
        <w:rPr>
          <w:rFonts w:ascii="Century" w:hAnsi="Century" w:hint="cs"/>
          <w:rtl/>
        </w:rPr>
        <w:t>,</w:t>
      </w:r>
      <w:r>
        <w:rPr>
          <w:rFonts w:ascii="Century" w:hAnsi="Century" w:cs="Miriam" w:hint="cs"/>
          <w:b/>
          <w:spacing w:val="0"/>
          <w:szCs w:val="24"/>
          <w:rtl/>
        </w:rPr>
        <w:t xml:space="preserve"> </w:t>
      </w:r>
      <w:r>
        <w:rPr>
          <w:rFonts w:hint="cs"/>
          <w:rtl/>
        </w:rPr>
        <w:t xml:space="preserve">בפסק הדין מיום 6.5.2020, ומצאתי להשלים את הדברים ולהוסיף מילים מספר משל עצמי. </w:t>
      </w:r>
    </w:p>
    <w:p w:rsidR="00503E45" w:rsidRDefault="00503E45" w:rsidP="00503E45">
      <w:pPr>
        <w:pStyle w:val="Ruller40"/>
        <w:rPr>
          <w:rtl/>
        </w:rPr>
      </w:pPr>
    </w:p>
    <w:p w:rsidR="00503E45" w:rsidRDefault="00503E45" w:rsidP="00503E45">
      <w:pPr>
        <w:pStyle w:val="Ruller40"/>
        <w:rPr>
          <w:rtl/>
        </w:rPr>
      </w:pPr>
      <w:r>
        <w:rPr>
          <w:rFonts w:hint="cs"/>
          <w:rtl/>
        </w:rPr>
        <w:t>1.</w:t>
      </w:r>
      <w:r>
        <w:rPr>
          <w:rFonts w:hint="cs"/>
          <w:rtl/>
        </w:rPr>
        <w:tab/>
        <w:t xml:space="preserve">לאחר שלוש מערכות בחירות שתוצאותיהן משקפות את השסעים לאורכה ולרוחבה של החברה הישראלית, קלעה אותנו המציאות בישראל למערבולות חוקיות וחוקתיות. חלפו דקות ספורות מההכרזה על חתימת ההסכם הקואליציוני וכבר נזדרזו ובאו להן העתירות והניחו עצמן בשעת ערב מאוחרת על מפתנו של בית המשפט העליון. </w:t>
      </w:r>
    </w:p>
    <w:p w:rsidR="00503E45" w:rsidRDefault="00503E45" w:rsidP="00503E45">
      <w:pPr>
        <w:pStyle w:val="Ruller40"/>
        <w:rPr>
          <w:rtl/>
        </w:rPr>
      </w:pPr>
    </w:p>
    <w:p w:rsidR="00503E45" w:rsidRDefault="00503E45" w:rsidP="00503E45">
      <w:pPr>
        <w:pStyle w:val="Ruller40"/>
        <w:rPr>
          <w:rtl/>
        </w:rPr>
      </w:pPr>
      <w:r>
        <w:rPr>
          <w:rFonts w:hint="cs"/>
          <w:rtl/>
        </w:rPr>
        <w:t>2.</w:t>
      </w:r>
      <w:r>
        <w:rPr>
          <w:rtl/>
        </w:rPr>
        <w:tab/>
      </w:r>
      <w:r>
        <w:rPr>
          <w:rFonts w:hint="cs"/>
          <w:rtl/>
        </w:rPr>
        <w:t xml:space="preserve">כפי שציינה הנשיאה בפתח פסק דינה, שתיים הן השאלות העומדות לפתחנו, שאלות החופפות את הסעדים השונים והמגוונים שנתבקשו בעתירות השונות שהונחו  לפתחנו. </w:t>
      </w:r>
    </w:p>
    <w:p w:rsidR="00503E45" w:rsidRDefault="00503E45" w:rsidP="00503E45">
      <w:pPr>
        <w:pStyle w:val="Ruller40"/>
        <w:rPr>
          <w:rtl/>
        </w:rPr>
      </w:pPr>
    </w:p>
    <w:p w:rsidR="00503E45" w:rsidRDefault="00503E45" w:rsidP="00503E45">
      <w:pPr>
        <w:pStyle w:val="Ruller40"/>
        <w:rPr>
          <w:rtl/>
        </w:rPr>
      </w:pPr>
      <w:r>
        <w:rPr>
          <w:rtl/>
        </w:rPr>
        <w:tab/>
      </w:r>
      <w:r w:rsidRPr="00600359">
        <w:rPr>
          <w:rFonts w:ascii="Century" w:hAnsi="Century" w:cs="Miriam" w:hint="cs"/>
          <w:b/>
          <w:spacing w:val="0"/>
          <w:szCs w:val="24"/>
          <w:rtl/>
        </w:rPr>
        <w:t>האחת</w:t>
      </w:r>
      <w:r>
        <w:rPr>
          <w:rFonts w:hint="cs"/>
          <w:rtl/>
        </w:rPr>
        <w:t xml:space="preserve"> </w:t>
      </w:r>
      <w:r>
        <w:rPr>
          <w:rtl/>
        </w:rPr>
        <w:t>–</w:t>
      </w:r>
      <w:r>
        <w:rPr>
          <w:rFonts w:hint="cs"/>
          <w:rtl/>
        </w:rPr>
        <w:t xml:space="preserve"> האם ניתן להטיל את מלאכת הרכבת הממשלה על ח"כ בנימין נתניהו, בהינתן כי תלוי ועומד כנגדו כתב אישום חמור הכולל שלושה אישומים בעבירות שיש עמן קלון: שוחד, מרמה והפרת אמונים. </w:t>
      </w:r>
    </w:p>
    <w:p w:rsidR="00503E45" w:rsidRDefault="00503E45" w:rsidP="00503E45">
      <w:pPr>
        <w:pStyle w:val="Ruller40"/>
        <w:rPr>
          <w:rtl/>
        </w:rPr>
      </w:pPr>
    </w:p>
    <w:p w:rsidR="00503E45" w:rsidRDefault="00503E45" w:rsidP="00503E45">
      <w:pPr>
        <w:pStyle w:val="Ruller40"/>
        <w:rPr>
          <w:rtl/>
        </w:rPr>
      </w:pPr>
      <w:r>
        <w:rPr>
          <w:rtl/>
        </w:rPr>
        <w:tab/>
      </w:r>
      <w:r w:rsidRPr="00600359">
        <w:rPr>
          <w:rFonts w:ascii="Century" w:hAnsi="Century" w:cs="Miriam" w:hint="cs"/>
          <w:b/>
          <w:spacing w:val="0"/>
          <w:szCs w:val="24"/>
          <w:rtl/>
        </w:rPr>
        <w:t>השניה</w:t>
      </w:r>
      <w:r>
        <w:rPr>
          <w:rFonts w:hint="cs"/>
          <w:rtl/>
        </w:rPr>
        <w:t xml:space="preserve"> </w:t>
      </w:r>
      <w:r>
        <w:rPr>
          <w:rtl/>
        </w:rPr>
        <w:t>–</w:t>
      </w:r>
      <w:r>
        <w:rPr>
          <w:rFonts w:hint="cs"/>
          <w:rtl/>
        </w:rPr>
        <w:t xml:space="preserve"> האם יש לפסול סעיפים שונים בהסכם הקואליציוני שנחתם ביום  20.4.2020 בין סיעת כחול לבן וסיעת הליכוד (להלן: </w:t>
      </w:r>
      <w:r w:rsidRPr="005C06BA">
        <w:rPr>
          <w:rFonts w:ascii="Century" w:hAnsi="Century" w:cs="Miriam" w:hint="cs"/>
          <w:b/>
          <w:spacing w:val="0"/>
          <w:szCs w:val="24"/>
          <w:rtl/>
        </w:rPr>
        <w:t>ההסכם הקואליציוני</w:t>
      </w:r>
      <w:r>
        <w:rPr>
          <w:rFonts w:hint="cs"/>
          <w:rtl/>
        </w:rPr>
        <w:t xml:space="preserve">) בהיותם מנוגדים לחוק או לתקנת הציבור. </w:t>
      </w:r>
    </w:p>
    <w:p w:rsidR="00503E45" w:rsidRDefault="00503E45" w:rsidP="00503E45">
      <w:pPr>
        <w:pStyle w:val="Ruller40"/>
        <w:rPr>
          <w:rtl/>
        </w:rPr>
      </w:pPr>
    </w:p>
    <w:p w:rsidR="00503E45" w:rsidRDefault="00503E45" w:rsidP="00503E45">
      <w:pPr>
        <w:pStyle w:val="Ruller40"/>
        <w:rPr>
          <w:rtl/>
        </w:rPr>
      </w:pPr>
      <w:r>
        <w:rPr>
          <w:rtl/>
        </w:rPr>
        <w:tab/>
      </w:r>
      <w:r>
        <w:rPr>
          <w:rFonts w:hint="cs"/>
          <w:rtl/>
        </w:rPr>
        <w:t>שתי שאלות נפרדות,</w:t>
      </w:r>
      <w:r>
        <w:rPr>
          <w:rtl/>
        </w:rPr>
        <w:tab/>
      </w:r>
      <w:r>
        <w:rPr>
          <w:rFonts w:hint="cs"/>
          <w:rtl/>
        </w:rPr>
        <w:t xml:space="preserve">הקשורות ביניהן בעבותות, מאחר שההסכם הקואליציוני והשינויים בחוק יסוד: הממשלה שנתכנו בעקבותיו, "נתפרו" למידותיהם של הצדדים להסכם, שאין חולק כי רוח החשדנות ההדדית מרחפת מעליו. כל אחת משתי שאלות אלה, טומנת בחובה נושאים שונים, שחלקם נדונים לראשונה בהיסטוריה המשפטית של המדינה. מעולם לא כיהן בישראל ראש ממשלה שתלוי כנגדו כתב אישום. ח"כ בנימין נתניהו מכהן מזה כשנה וחצי כראש ממשלת </w:t>
      </w:r>
      <w:r w:rsidRPr="00600359">
        <w:rPr>
          <w:rFonts w:ascii="Century" w:hAnsi="Century" w:cs="Miriam" w:hint="cs"/>
          <w:b/>
          <w:spacing w:val="0"/>
          <w:szCs w:val="24"/>
          <w:rtl/>
        </w:rPr>
        <w:t>מעבר</w:t>
      </w:r>
      <w:r>
        <w:rPr>
          <w:rFonts w:hint="cs"/>
          <w:rtl/>
        </w:rPr>
        <w:t xml:space="preserve">, ממשלה שלא זכתה לאמון הציבור, כך שהשאלה </w:t>
      </w:r>
      <w:r w:rsidRPr="000A1340">
        <w:rPr>
          <w:rFonts w:hint="cs"/>
          <w:rtl/>
        </w:rPr>
        <w:t xml:space="preserve">אם ניתן להטיל </w:t>
      </w:r>
      <w:r>
        <w:rPr>
          <w:rFonts w:hint="cs"/>
          <w:rtl/>
        </w:rPr>
        <w:t xml:space="preserve">עליו </w:t>
      </w:r>
      <w:r w:rsidRPr="000A1340">
        <w:rPr>
          <w:rFonts w:hint="cs"/>
          <w:rtl/>
        </w:rPr>
        <w:t xml:space="preserve">את מלאכת הרכבת ממשלה בישראל </w:t>
      </w:r>
      <w:r>
        <w:rPr>
          <w:rFonts w:hint="cs"/>
          <w:rtl/>
        </w:rPr>
        <w:t>לא התעוררה וממילא לא נדונה עד עתה. עתירות שונות שהוגשו לבית משפט זה נדחו בשעתו בהיותן מוקדמות ותיאורטיות נוכח שלוש מערכות הבחירות שהתרגשו עלינו. אך כעת הגיעה שעת ההכרעה.</w:t>
      </w:r>
    </w:p>
    <w:p w:rsidR="00503E45" w:rsidRDefault="00503E45" w:rsidP="00503E45">
      <w:pPr>
        <w:pStyle w:val="Ruller40"/>
        <w:rPr>
          <w:rtl/>
        </w:rPr>
      </w:pPr>
    </w:p>
    <w:p w:rsidR="00503E45" w:rsidRDefault="00503E45" w:rsidP="00503E45">
      <w:pPr>
        <w:pStyle w:val="Ruller40"/>
        <w:rPr>
          <w:rFonts w:ascii="Century" w:hAnsi="Century" w:cs="Miriam"/>
          <w:b/>
          <w:spacing w:val="0"/>
          <w:szCs w:val="24"/>
          <w:rtl/>
        </w:rPr>
      </w:pPr>
      <w:r>
        <w:rPr>
          <w:rFonts w:ascii="Century" w:hAnsi="Century" w:cs="Miriam" w:hint="cs"/>
          <w:b/>
          <w:spacing w:val="0"/>
          <w:szCs w:val="24"/>
          <w:rtl/>
        </w:rPr>
        <w:t xml:space="preserve">השאלה הראשונה </w:t>
      </w:r>
      <w:r>
        <w:rPr>
          <w:rFonts w:ascii="Century" w:hAnsi="Century" w:cs="Miriam"/>
          <w:b/>
          <w:spacing w:val="0"/>
          <w:szCs w:val="24"/>
          <w:rtl/>
        </w:rPr>
        <w:t>–</w:t>
      </w:r>
      <w:r>
        <w:rPr>
          <w:rFonts w:ascii="Century" w:hAnsi="Century" w:cs="Miriam" w:hint="cs"/>
          <w:b/>
          <w:spacing w:val="0"/>
          <w:szCs w:val="24"/>
          <w:rtl/>
        </w:rPr>
        <w:t xml:space="preserve"> האם ניתן להטיל על נאשם בפלילים להרכיב ממשלה?</w:t>
      </w:r>
    </w:p>
    <w:p w:rsidR="00503E45" w:rsidRDefault="00503E45" w:rsidP="00503E45">
      <w:pPr>
        <w:pStyle w:val="Ruller40"/>
        <w:rPr>
          <w:rtl/>
        </w:rPr>
      </w:pPr>
      <w:r>
        <w:rPr>
          <w:rFonts w:ascii="Century" w:hAnsi="Century" w:cs="Miriam" w:hint="cs"/>
          <w:b/>
          <w:spacing w:val="0"/>
          <w:szCs w:val="24"/>
          <w:rtl/>
        </w:rPr>
        <w:t xml:space="preserve"> </w:t>
      </w:r>
    </w:p>
    <w:p w:rsidR="00503E45" w:rsidRDefault="00503E45" w:rsidP="00503E45">
      <w:pPr>
        <w:pStyle w:val="Ruller40"/>
        <w:rPr>
          <w:rtl/>
        </w:rPr>
      </w:pPr>
      <w:r>
        <w:rPr>
          <w:rFonts w:hint="cs"/>
          <w:rtl/>
        </w:rPr>
        <w:t>3.</w:t>
      </w:r>
      <w:r>
        <w:rPr>
          <w:rFonts w:hint="cs"/>
          <w:rtl/>
        </w:rPr>
        <w:tab/>
        <w:t>בניגוד לסברה שהושמעה, כביכול השאלה שלפנינו פשוטה להפליא ומעוגנת בחוק ברור ומפורש, אנסה להסביר להלן מדוע אין הדבר כך. לשם כך, נתמקד בשלשה טיעונים מרכזיים שניתן לזקק מתוך מאות העמודים שהכבירו עלינו העותרים.</w:t>
      </w:r>
    </w:p>
    <w:p w:rsidR="00503E45" w:rsidRDefault="00503E45" w:rsidP="00503E45">
      <w:pPr>
        <w:pStyle w:val="Ruller40"/>
        <w:rPr>
          <w:rtl/>
        </w:rPr>
      </w:pPr>
    </w:p>
    <w:p w:rsidR="00503E45" w:rsidRPr="00A67E31" w:rsidRDefault="00503E45" w:rsidP="00503E45">
      <w:pPr>
        <w:pStyle w:val="Ruller40"/>
        <w:rPr>
          <w:rFonts w:ascii="Century" w:hAnsi="Century" w:cs="Miriam"/>
          <w:b/>
          <w:spacing w:val="0"/>
          <w:szCs w:val="24"/>
          <w:rtl/>
        </w:rPr>
      </w:pPr>
      <w:r>
        <w:rPr>
          <w:rFonts w:ascii="Century" w:hAnsi="Century" w:cs="Miriam" w:hint="cs"/>
          <w:b/>
          <w:spacing w:val="0"/>
          <w:szCs w:val="24"/>
          <w:rtl/>
        </w:rPr>
        <w:t xml:space="preserve">(1) הגיון ושכל ישר </w:t>
      </w:r>
      <w:r>
        <w:rPr>
          <w:rFonts w:ascii="Century" w:hAnsi="Century"/>
          <w:rtl/>
        </w:rPr>
        <w:t>–</w:t>
      </w:r>
      <w:r>
        <w:rPr>
          <w:rFonts w:ascii="Century" w:hAnsi="Century" w:hint="cs"/>
          <w:rtl/>
        </w:rPr>
        <w:t xml:space="preserve"> </w:t>
      </w:r>
      <w:r w:rsidRPr="00A67E31">
        <w:rPr>
          <w:rFonts w:ascii="Century" w:hAnsi="Century" w:cs="Miriam" w:hint="cs"/>
          <w:b/>
          <w:spacing w:val="0"/>
          <w:szCs w:val="24"/>
          <w:rtl/>
        </w:rPr>
        <w:t>מ</w:t>
      </w:r>
      <w:r>
        <w:rPr>
          <w:rFonts w:ascii="Century" w:hAnsi="Century" w:cs="Miriam" w:hint="cs"/>
          <w:b/>
          <w:spacing w:val="0"/>
          <w:szCs w:val="24"/>
          <w:rtl/>
        </w:rPr>
        <w:t xml:space="preserve">תפקיד זוטר ברשות המקומית </w:t>
      </w:r>
      <w:r w:rsidRPr="00A67E31">
        <w:rPr>
          <w:rFonts w:ascii="Century" w:hAnsi="Century" w:cs="Miriam" w:hint="cs"/>
          <w:b/>
          <w:spacing w:val="0"/>
          <w:szCs w:val="24"/>
          <w:rtl/>
        </w:rPr>
        <w:t>ועד לראשות הממשלה</w:t>
      </w:r>
    </w:p>
    <w:p w:rsidR="00503E45" w:rsidRDefault="00503E45" w:rsidP="00503E45">
      <w:pPr>
        <w:pStyle w:val="Ruller40"/>
        <w:rPr>
          <w:rtl/>
        </w:rPr>
      </w:pPr>
    </w:p>
    <w:p w:rsidR="00503E45" w:rsidRDefault="00503E45" w:rsidP="00503E45">
      <w:pPr>
        <w:pStyle w:val="Ruller40"/>
        <w:rPr>
          <w:rtl/>
        </w:rPr>
      </w:pPr>
      <w:r>
        <w:rPr>
          <w:rFonts w:hint="cs"/>
          <w:rtl/>
        </w:rPr>
        <w:t>4.</w:t>
      </w:r>
      <w:r>
        <w:rPr>
          <w:rFonts w:hint="cs"/>
          <w:rtl/>
        </w:rPr>
        <w:tab/>
        <w:t xml:space="preserve">נניח לרגע קט בצד את הוראות החוק ושלל הטיעונים המשפטיים, ונגולל את סיפורו של ראובן. </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ראובן ביקש להתקבל לעבודה כקורא מוני מים במחלקת המים של רשות מקומית כלשהי. ברם, על אף כישוריו יוצאי הדופן, מועמדותו של ראובן לתפקיד נדחתה על הסף על ידי ראש המחלקה, לאחר שהתברר כי הוגש כנגדו כתב אישום בעבירה של שוחד. כפי שהסביר ראש המחלקה לראובן, לא יעלה על הדעת שלעבודה כה אחראית, יתקבל אדם שתלוי ועומד נגדו כתב אישום בעבירת שוחד. </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ראובן המתין בסבלנות, וכעבור חודש, משנודע לו על פרישתו של מנהל מחלקת המים, התמודד במכרז על התפקיד, ולמותר לציין כי מנהל מחלקת המים חולש מתוקף תפקידו על כל קוראי מוני המים. ברם, ועדת המכרזים דחתה את מועמדותו של ראובן לתפקיד על הסף, לאחר שהתברר כי הוגש כנגדו כתב אישום בעבירה של שוחד. כפי שהוסבר לראובן, אפילו אם כתב האישום היה מוגש אחרי שהיה נכנס לתפקידו, מן הסתם היה מושעה עד לסיום המשפט. על אחת כמה וכמה שאין מקום לקבלו לתפקיד כל עוד כתב האישום תלוי ועומד.   </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ראובן החליט אפוא להתמודד בבחירות על ראשות הרשות המקומית, ולמותר לציין כי ראש הרשות חולש מתוקף תפקידו על מחלקת המים. דרכו של ראובן צלחה, והוא זכה ברוב מוחץ של התושבים ונבחר לראשות הרשות המקומית. ברם, לאור הלכת </w:t>
      </w:r>
      <w:r w:rsidRPr="00F63FD7">
        <w:rPr>
          <w:rFonts w:ascii="Century" w:hAnsi="Century" w:cs="Miriam" w:hint="cs"/>
          <w:b/>
          <w:spacing w:val="0"/>
          <w:szCs w:val="24"/>
          <w:rtl/>
        </w:rPr>
        <w:t>ראשי הערים</w:t>
      </w:r>
      <w:r>
        <w:rPr>
          <w:rFonts w:hint="cs"/>
          <w:rtl/>
        </w:rPr>
        <w:t xml:space="preserve"> </w:t>
      </w:r>
      <w:r w:rsidRPr="00B42272">
        <w:rPr>
          <w:rFonts w:ascii="Century" w:hAnsi="Century" w:hint="cs"/>
          <w:rtl/>
        </w:rPr>
        <w:t>(</w:t>
      </w:r>
      <w:r w:rsidRPr="00B42272">
        <w:rPr>
          <w:rFonts w:ascii="Century" w:hAnsi="Century"/>
          <w:rtl/>
        </w:rPr>
        <w:t xml:space="preserve">בג"ץ 4921/13 </w:t>
      </w:r>
      <w:r w:rsidRPr="00B42272">
        <w:rPr>
          <w:rFonts w:ascii="Century" w:hAnsi="Century" w:cs="Miriam" w:hint="eastAsia"/>
          <w:b/>
          <w:spacing w:val="0"/>
          <w:szCs w:val="24"/>
          <w:rtl/>
        </w:rPr>
        <w:t>אומ</w:t>
      </w:r>
      <w:r w:rsidRPr="00B42272">
        <w:rPr>
          <w:rFonts w:ascii="Century" w:hAnsi="Century" w:cs="Miriam"/>
          <w:b/>
          <w:spacing w:val="0"/>
          <w:szCs w:val="24"/>
          <w:rtl/>
        </w:rPr>
        <w:t>"</w:t>
      </w:r>
      <w:r w:rsidRPr="00B42272">
        <w:rPr>
          <w:rFonts w:ascii="Century" w:hAnsi="Century" w:cs="Miriam" w:hint="eastAsia"/>
          <w:b/>
          <w:spacing w:val="0"/>
          <w:szCs w:val="24"/>
          <w:rtl/>
        </w:rPr>
        <w:t>ץ</w:t>
      </w:r>
      <w:r w:rsidRPr="00B42272">
        <w:rPr>
          <w:rFonts w:ascii="Century" w:hAnsi="Century" w:cs="Miriam"/>
          <w:b/>
          <w:spacing w:val="0"/>
          <w:szCs w:val="24"/>
          <w:rtl/>
        </w:rPr>
        <w:t xml:space="preserve"> </w:t>
      </w:r>
      <w:r w:rsidRPr="00B42272">
        <w:rPr>
          <w:rFonts w:ascii="Century" w:hAnsi="Century" w:cs="Miriam" w:hint="eastAsia"/>
          <w:b/>
          <w:spacing w:val="0"/>
          <w:szCs w:val="24"/>
          <w:rtl/>
        </w:rPr>
        <w:t>אזרחים</w:t>
      </w:r>
      <w:r w:rsidRPr="00B42272">
        <w:rPr>
          <w:rFonts w:ascii="Century" w:hAnsi="Century" w:cs="Miriam"/>
          <w:b/>
          <w:spacing w:val="0"/>
          <w:szCs w:val="24"/>
          <w:rtl/>
        </w:rPr>
        <w:t xml:space="preserve"> </w:t>
      </w:r>
      <w:r w:rsidRPr="00B42272">
        <w:rPr>
          <w:rFonts w:ascii="Century" w:hAnsi="Century" w:cs="Miriam" w:hint="eastAsia"/>
          <w:b/>
          <w:spacing w:val="0"/>
          <w:szCs w:val="24"/>
          <w:rtl/>
        </w:rPr>
        <w:t>למען</w:t>
      </w:r>
      <w:r w:rsidRPr="00B42272">
        <w:rPr>
          <w:rFonts w:ascii="Century" w:hAnsi="Century" w:cs="Miriam"/>
          <w:b/>
          <w:spacing w:val="0"/>
          <w:szCs w:val="24"/>
          <w:rtl/>
        </w:rPr>
        <w:t xml:space="preserve"> </w:t>
      </w:r>
      <w:r w:rsidRPr="00B42272">
        <w:rPr>
          <w:rFonts w:ascii="Century" w:hAnsi="Century" w:cs="Miriam" w:hint="eastAsia"/>
          <w:b/>
          <w:spacing w:val="0"/>
          <w:szCs w:val="24"/>
          <w:rtl/>
        </w:rPr>
        <w:t>מנהל</w:t>
      </w:r>
      <w:r w:rsidRPr="00B42272">
        <w:rPr>
          <w:rFonts w:ascii="Century" w:hAnsi="Century" w:cs="Miriam"/>
          <w:b/>
          <w:spacing w:val="0"/>
          <w:szCs w:val="24"/>
          <w:rtl/>
        </w:rPr>
        <w:t xml:space="preserve"> </w:t>
      </w:r>
      <w:r w:rsidRPr="00B42272">
        <w:rPr>
          <w:rFonts w:ascii="Century" w:hAnsi="Century" w:cs="Miriam" w:hint="eastAsia"/>
          <w:b/>
          <w:spacing w:val="0"/>
          <w:szCs w:val="24"/>
          <w:rtl/>
        </w:rPr>
        <w:t>תקין</w:t>
      </w:r>
      <w:r w:rsidRPr="00B42272">
        <w:rPr>
          <w:rFonts w:ascii="Century" w:hAnsi="Century" w:cs="Miriam"/>
          <w:b/>
          <w:spacing w:val="0"/>
          <w:szCs w:val="24"/>
          <w:rtl/>
        </w:rPr>
        <w:t xml:space="preserve"> </w:t>
      </w:r>
      <w:r w:rsidRPr="00B42272">
        <w:rPr>
          <w:rFonts w:ascii="Century" w:hAnsi="Century" w:cs="Miriam" w:hint="eastAsia"/>
          <w:b/>
          <w:spacing w:val="0"/>
          <w:szCs w:val="24"/>
          <w:rtl/>
        </w:rPr>
        <w:t>וצדק</w:t>
      </w:r>
      <w:r w:rsidRPr="00B42272">
        <w:rPr>
          <w:rFonts w:ascii="Century" w:hAnsi="Century" w:cs="Miriam"/>
          <w:b/>
          <w:spacing w:val="0"/>
          <w:szCs w:val="24"/>
          <w:rtl/>
        </w:rPr>
        <w:t xml:space="preserve"> </w:t>
      </w:r>
      <w:r w:rsidRPr="00B42272">
        <w:rPr>
          <w:rFonts w:ascii="Century" w:hAnsi="Century" w:cs="Miriam" w:hint="eastAsia"/>
          <w:b/>
          <w:spacing w:val="0"/>
          <w:szCs w:val="24"/>
          <w:rtl/>
        </w:rPr>
        <w:t>חברתי</w:t>
      </w:r>
      <w:r w:rsidRPr="00B42272">
        <w:rPr>
          <w:rFonts w:ascii="Century" w:hAnsi="Century" w:cs="Miriam"/>
          <w:b/>
          <w:spacing w:val="0"/>
          <w:szCs w:val="24"/>
          <w:rtl/>
        </w:rPr>
        <w:t xml:space="preserve"> </w:t>
      </w:r>
      <w:r w:rsidRPr="00B42272">
        <w:rPr>
          <w:rFonts w:ascii="Century" w:hAnsi="Century" w:cs="Miriam" w:hint="eastAsia"/>
          <w:b/>
          <w:spacing w:val="0"/>
          <w:szCs w:val="24"/>
          <w:rtl/>
        </w:rPr>
        <w:t>נ</w:t>
      </w:r>
      <w:r w:rsidRPr="00B42272">
        <w:rPr>
          <w:rFonts w:ascii="Century" w:hAnsi="Century" w:cs="Miriam"/>
          <w:b/>
          <w:spacing w:val="0"/>
          <w:szCs w:val="24"/>
          <w:rtl/>
        </w:rPr>
        <w:t xml:space="preserve">' </w:t>
      </w:r>
      <w:r w:rsidRPr="00B42272">
        <w:rPr>
          <w:rFonts w:ascii="Century" w:hAnsi="Century" w:cs="Miriam" w:hint="eastAsia"/>
          <w:b/>
          <w:spacing w:val="0"/>
          <w:szCs w:val="24"/>
          <w:rtl/>
        </w:rPr>
        <w:t>ראש</w:t>
      </w:r>
      <w:r w:rsidRPr="00B42272">
        <w:rPr>
          <w:rFonts w:ascii="Century" w:hAnsi="Century" w:cs="Miriam"/>
          <w:b/>
          <w:spacing w:val="0"/>
          <w:szCs w:val="24"/>
          <w:rtl/>
        </w:rPr>
        <w:t xml:space="preserve"> </w:t>
      </w:r>
      <w:r w:rsidRPr="00B42272">
        <w:rPr>
          <w:rFonts w:ascii="Century" w:hAnsi="Century" w:cs="Miriam" w:hint="eastAsia"/>
          <w:b/>
          <w:spacing w:val="0"/>
          <w:szCs w:val="24"/>
          <w:rtl/>
        </w:rPr>
        <w:t>עיריית</w:t>
      </w:r>
      <w:r w:rsidRPr="00B42272">
        <w:rPr>
          <w:rFonts w:ascii="Century" w:hAnsi="Century" w:cs="Miriam"/>
          <w:b/>
          <w:spacing w:val="0"/>
          <w:szCs w:val="24"/>
          <w:rtl/>
        </w:rPr>
        <w:t xml:space="preserve"> </w:t>
      </w:r>
      <w:r w:rsidRPr="00B42272">
        <w:rPr>
          <w:rFonts w:ascii="Century" w:hAnsi="Century" w:cs="Miriam" w:hint="eastAsia"/>
          <w:b/>
          <w:spacing w:val="0"/>
          <w:szCs w:val="24"/>
          <w:rtl/>
        </w:rPr>
        <w:t>רמת</w:t>
      </w:r>
      <w:r w:rsidRPr="00B42272">
        <w:rPr>
          <w:rFonts w:ascii="Century" w:hAnsi="Century" w:cs="Miriam"/>
          <w:b/>
          <w:spacing w:val="0"/>
          <w:szCs w:val="24"/>
          <w:rtl/>
        </w:rPr>
        <w:t xml:space="preserve"> </w:t>
      </w:r>
      <w:r w:rsidRPr="00B42272">
        <w:rPr>
          <w:rFonts w:ascii="Century" w:hAnsi="Century" w:cs="Miriam" w:hint="eastAsia"/>
          <w:b/>
          <w:spacing w:val="0"/>
          <w:szCs w:val="24"/>
          <w:rtl/>
        </w:rPr>
        <w:t>השרון</w:t>
      </w:r>
      <w:r w:rsidRPr="00B42272">
        <w:rPr>
          <w:rFonts w:ascii="Century" w:hAnsi="Century" w:cs="Miriam"/>
          <w:b/>
          <w:spacing w:val="0"/>
          <w:szCs w:val="24"/>
          <w:rtl/>
        </w:rPr>
        <w:t xml:space="preserve">, </w:t>
      </w:r>
      <w:r w:rsidRPr="00B42272">
        <w:rPr>
          <w:rFonts w:ascii="Century" w:hAnsi="Century" w:cs="Miriam" w:hint="eastAsia"/>
          <w:b/>
          <w:spacing w:val="0"/>
          <w:szCs w:val="24"/>
          <w:rtl/>
        </w:rPr>
        <w:t>יצחק</w:t>
      </w:r>
      <w:r w:rsidRPr="00B42272">
        <w:rPr>
          <w:rFonts w:ascii="Century" w:hAnsi="Century" w:cs="Miriam"/>
          <w:b/>
          <w:spacing w:val="0"/>
          <w:szCs w:val="24"/>
          <w:rtl/>
        </w:rPr>
        <w:t xml:space="preserve"> </w:t>
      </w:r>
      <w:r w:rsidRPr="00B42272">
        <w:rPr>
          <w:rFonts w:ascii="Century" w:hAnsi="Century" w:cs="Miriam" w:hint="eastAsia"/>
          <w:b/>
          <w:spacing w:val="0"/>
          <w:szCs w:val="24"/>
          <w:rtl/>
        </w:rPr>
        <w:t>רוכברגר</w:t>
      </w:r>
      <w:r w:rsidRPr="00B42272">
        <w:rPr>
          <w:rFonts w:ascii="Century" w:hAnsi="Century"/>
          <w:rtl/>
        </w:rPr>
        <w:t xml:space="preserve">, </w:t>
      </w:r>
      <w:r w:rsidRPr="00B42272">
        <w:rPr>
          <w:rFonts w:ascii="Century" w:hAnsi="Century" w:hint="eastAsia"/>
          <w:rtl/>
        </w:rPr>
        <w:t>פ</w:t>
      </w:r>
      <w:r>
        <w:rPr>
          <w:rFonts w:ascii="Century" w:hAnsi="Century" w:hint="cs"/>
          <w:rtl/>
        </w:rPr>
        <w:t>"</w:t>
      </w:r>
      <w:r w:rsidRPr="00B42272">
        <w:rPr>
          <w:rFonts w:ascii="Century" w:hAnsi="Century" w:hint="eastAsia"/>
          <w:rtl/>
        </w:rPr>
        <w:t>ד</w:t>
      </w:r>
      <w:r w:rsidRPr="00B42272">
        <w:rPr>
          <w:rFonts w:ascii="Century" w:hAnsi="Century"/>
          <w:rtl/>
        </w:rPr>
        <w:t xml:space="preserve"> </w:t>
      </w:r>
      <w:r w:rsidRPr="00B42272">
        <w:rPr>
          <w:rFonts w:ascii="Century" w:hAnsi="Century" w:hint="eastAsia"/>
          <w:rtl/>
        </w:rPr>
        <w:t>סו</w:t>
      </w:r>
      <w:r w:rsidRPr="000A1340">
        <w:rPr>
          <w:rtl/>
        </w:rPr>
        <w:t>(3) 135</w:t>
      </w:r>
      <w:r>
        <w:rPr>
          <w:rFonts w:hint="cs"/>
          <w:rtl/>
        </w:rPr>
        <w:t xml:space="preserve"> (2013) (להלן: עניין </w:t>
      </w:r>
      <w:r w:rsidRPr="00942010">
        <w:rPr>
          <w:rFonts w:ascii="Century" w:hAnsi="Century" w:cs="Miriam" w:hint="eastAsia"/>
          <w:b/>
          <w:spacing w:val="0"/>
          <w:szCs w:val="24"/>
          <w:rtl/>
        </w:rPr>
        <w:t>ראשי</w:t>
      </w:r>
      <w:r w:rsidRPr="00942010">
        <w:rPr>
          <w:rFonts w:ascii="Century" w:hAnsi="Century" w:cs="Miriam"/>
          <w:b/>
          <w:spacing w:val="0"/>
          <w:szCs w:val="24"/>
          <w:rtl/>
        </w:rPr>
        <w:t xml:space="preserve"> </w:t>
      </w:r>
      <w:r w:rsidRPr="00942010">
        <w:rPr>
          <w:rFonts w:ascii="Century" w:hAnsi="Century" w:cs="Miriam" w:hint="eastAsia"/>
          <w:b/>
          <w:spacing w:val="0"/>
          <w:szCs w:val="24"/>
          <w:rtl/>
        </w:rPr>
        <w:t>הערים</w:t>
      </w:r>
      <w:r>
        <w:rPr>
          <w:rFonts w:hint="cs"/>
          <w:rtl/>
        </w:rPr>
        <w:t>)), ועל אף היותו נבחר ציבור, מועצת העיר הפעילה את סמכותה לפי סעיף 22 ל</w:t>
      </w:r>
      <w:r w:rsidRPr="00F63FD7">
        <w:rPr>
          <w:rFonts w:ascii="Century" w:hAnsi="Century"/>
          <w:rtl/>
        </w:rPr>
        <w:t>חוק הרשויות המקומיות (בחירת ראש הרשות וסגניו וכהונת</w:t>
      </w:r>
      <w:r>
        <w:rPr>
          <w:rFonts w:ascii="Century" w:hAnsi="Century" w:hint="cs"/>
          <w:rtl/>
        </w:rPr>
        <w:t>ם)</w:t>
      </w:r>
      <w:r>
        <w:rPr>
          <w:rFonts w:hint="cs"/>
          <w:rtl/>
        </w:rPr>
        <w:t xml:space="preserve">, התשל"ה-1975, ולא אישרה את מינויו בשל כתב האישום שהוגש כנגדו. </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זו הפעם, החליט ראובן ללכת בגדולות. הוא השתלב חיש-מהר בפוליטיקה הארצית, ותוך זמן קצר התמנה לשר הפנים. למותר לציין כי שר הפנים, חולש מתוקף תפקידו על מאות רשויות מקומיות, ובין היתר, אחראי על הקצאת מענקי איזון לרשות המקומית. ברם, לאור הלכת </w:t>
      </w:r>
      <w:r w:rsidRPr="004A3371">
        <w:rPr>
          <w:rFonts w:ascii="Century" w:hAnsi="Century" w:cs="Miriam" w:hint="cs"/>
          <w:b/>
          <w:spacing w:val="0"/>
          <w:szCs w:val="24"/>
          <w:rtl/>
        </w:rPr>
        <w:t>דרעי-פנחסי</w:t>
      </w:r>
      <w:r>
        <w:rPr>
          <w:rFonts w:ascii="Century" w:hAnsi="Century" w:cs="Miriam" w:hint="cs"/>
          <w:b/>
          <w:spacing w:val="0"/>
          <w:szCs w:val="24"/>
          <w:rtl/>
        </w:rPr>
        <w:t xml:space="preserve"> </w:t>
      </w:r>
      <w:r w:rsidRPr="005749D2">
        <w:rPr>
          <w:rFonts w:ascii="Century" w:hAnsi="Century" w:hint="cs"/>
          <w:rtl/>
        </w:rPr>
        <w:t>(</w:t>
      </w:r>
      <w:r w:rsidRPr="005749D2">
        <w:rPr>
          <w:rFonts w:ascii="Century" w:hAnsi="Century" w:hint="eastAsia"/>
          <w:rtl/>
        </w:rPr>
        <w:t>בג</w:t>
      </w:r>
      <w:r w:rsidRPr="005749D2">
        <w:rPr>
          <w:rFonts w:ascii="Century" w:hAnsi="Century"/>
          <w:rtl/>
        </w:rPr>
        <w:t>"</w:t>
      </w:r>
      <w:r w:rsidRPr="005749D2">
        <w:rPr>
          <w:rFonts w:ascii="Century" w:hAnsi="Century" w:hint="eastAsia"/>
          <w:rtl/>
        </w:rPr>
        <w:t>ץ</w:t>
      </w:r>
      <w:r w:rsidRPr="005749D2">
        <w:rPr>
          <w:rFonts w:ascii="Century" w:hAnsi="Century"/>
          <w:rtl/>
        </w:rPr>
        <w:t xml:space="preserve"> 3094/93 </w:t>
      </w:r>
      <w:r w:rsidRPr="008B009D">
        <w:rPr>
          <w:rFonts w:ascii="Century" w:hAnsi="Century" w:cs="Miriam" w:hint="eastAsia"/>
          <w:b/>
          <w:spacing w:val="0"/>
          <w:szCs w:val="24"/>
          <w:rtl/>
        </w:rPr>
        <w:t>התנועה</w:t>
      </w:r>
      <w:r w:rsidRPr="008B009D">
        <w:rPr>
          <w:rFonts w:ascii="Century" w:hAnsi="Century" w:cs="Miriam"/>
          <w:b/>
          <w:spacing w:val="0"/>
          <w:szCs w:val="24"/>
          <w:rtl/>
        </w:rPr>
        <w:t xml:space="preserve"> </w:t>
      </w:r>
      <w:r w:rsidRPr="008B009D">
        <w:rPr>
          <w:rFonts w:ascii="Century" w:hAnsi="Century" w:cs="Miriam" w:hint="eastAsia"/>
          <w:b/>
          <w:spacing w:val="0"/>
          <w:szCs w:val="24"/>
          <w:rtl/>
        </w:rPr>
        <w:t>למען</w:t>
      </w:r>
      <w:r w:rsidRPr="008B009D">
        <w:rPr>
          <w:rFonts w:ascii="Century" w:hAnsi="Century" w:cs="Miriam"/>
          <w:b/>
          <w:spacing w:val="0"/>
          <w:szCs w:val="24"/>
          <w:rtl/>
        </w:rPr>
        <w:t xml:space="preserve"> </w:t>
      </w:r>
      <w:r w:rsidRPr="008B009D">
        <w:rPr>
          <w:rFonts w:ascii="Century" w:hAnsi="Century" w:cs="Miriam" w:hint="eastAsia"/>
          <w:b/>
          <w:spacing w:val="0"/>
          <w:szCs w:val="24"/>
          <w:rtl/>
        </w:rPr>
        <w:t>איכות</w:t>
      </w:r>
      <w:r w:rsidRPr="008B009D">
        <w:rPr>
          <w:rFonts w:ascii="Century" w:hAnsi="Century" w:cs="Miriam"/>
          <w:b/>
          <w:spacing w:val="0"/>
          <w:szCs w:val="24"/>
          <w:rtl/>
        </w:rPr>
        <w:t xml:space="preserve"> </w:t>
      </w:r>
      <w:r w:rsidRPr="008B009D">
        <w:rPr>
          <w:rFonts w:ascii="Century" w:hAnsi="Century" w:cs="Miriam" w:hint="eastAsia"/>
          <w:b/>
          <w:spacing w:val="0"/>
          <w:szCs w:val="24"/>
          <w:rtl/>
        </w:rPr>
        <w:t>השלטון</w:t>
      </w:r>
      <w:r w:rsidRPr="008B009D">
        <w:rPr>
          <w:rFonts w:ascii="Century" w:hAnsi="Century" w:cs="Miriam"/>
          <w:b/>
          <w:spacing w:val="0"/>
          <w:szCs w:val="24"/>
          <w:rtl/>
        </w:rPr>
        <w:t xml:space="preserve"> </w:t>
      </w:r>
      <w:r w:rsidRPr="008B009D">
        <w:rPr>
          <w:rFonts w:ascii="Century" w:hAnsi="Century" w:cs="Miriam" w:hint="eastAsia"/>
          <w:b/>
          <w:spacing w:val="0"/>
          <w:szCs w:val="24"/>
          <w:rtl/>
        </w:rPr>
        <w:t>בישראל</w:t>
      </w:r>
      <w:r w:rsidRPr="008B009D">
        <w:rPr>
          <w:rFonts w:ascii="Century" w:hAnsi="Century" w:cs="Miriam"/>
          <w:b/>
          <w:spacing w:val="0"/>
          <w:szCs w:val="24"/>
          <w:rtl/>
        </w:rPr>
        <w:t xml:space="preserve"> </w:t>
      </w:r>
      <w:r w:rsidRPr="005749D2">
        <w:rPr>
          <w:rFonts w:ascii="Century" w:hAnsi="Century" w:cs="Miriam" w:hint="eastAsia"/>
          <w:b/>
          <w:spacing w:val="0"/>
          <w:szCs w:val="24"/>
          <w:rtl/>
        </w:rPr>
        <w:t>נ</w:t>
      </w:r>
      <w:r w:rsidRPr="005749D2">
        <w:rPr>
          <w:rFonts w:ascii="Century" w:hAnsi="Century" w:cs="Miriam"/>
          <w:b/>
          <w:spacing w:val="0"/>
          <w:szCs w:val="24"/>
          <w:rtl/>
        </w:rPr>
        <w:t xml:space="preserve">' </w:t>
      </w:r>
      <w:r w:rsidRPr="005749D2">
        <w:rPr>
          <w:rFonts w:ascii="Century" w:hAnsi="Century" w:cs="Miriam" w:hint="eastAsia"/>
          <w:b/>
          <w:spacing w:val="0"/>
          <w:szCs w:val="24"/>
          <w:rtl/>
        </w:rPr>
        <w:t>ממשלת</w:t>
      </w:r>
      <w:r w:rsidRPr="005749D2">
        <w:rPr>
          <w:rFonts w:ascii="Century" w:hAnsi="Century" w:cs="Miriam"/>
          <w:b/>
          <w:spacing w:val="0"/>
          <w:szCs w:val="24"/>
          <w:rtl/>
        </w:rPr>
        <w:t xml:space="preserve"> </w:t>
      </w:r>
      <w:r w:rsidRPr="005749D2">
        <w:rPr>
          <w:rFonts w:ascii="Century" w:hAnsi="Century" w:cs="Miriam" w:hint="eastAsia"/>
          <w:b/>
          <w:spacing w:val="0"/>
          <w:szCs w:val="24"/>
          <w:rtl/>
        </w:rPr>
        <w:t>ישראל</w:t>
      </w:r>
      <w:r w:rsidRPr="005749D2">
        <w:rPr>
          <w:rFonts w:ascii="Century" w:hAnsi="Century"/>
          <w:rtl/>
        </w:rPr>
        <w:t xml:space="preserve">, </w:t>
      </w:r>
      <w:r w:rsidRPr="005749D2">
        <w:rPr>
          <w:rFonts w:ascii="Century" w:hAnsi="Century" w:hint="eastAsia"/>
          <w:rtl/>
        </w:rPr>
        <w:t>פ</w:t>
      </w:r>
      <w:r w:rsidRPr="005749D2">
        <w:rPr>
          <w:rFonts w:ascii="Century" w:hAnsi="Century"/>
          <w:rtl/>
        </w:rPr>
        <w:t>"</w:t>
      </w:r>
      <w:r w:rsidRPr="005749D2">
        <w:rPr>
          <w:rFonts w:ascii="Century" w:hAnsi="Century" w:hint="eastAsia"/>
          <w:rtl/>
        </w:rPr>
        <w:t>ד</w:t>
      </w:r>
      <w:r w:rsidRPr="005749D2">
        <w:rPr>
          <w:rFonts w:ascii="Century" w:hAnsi="Century"/>
          <w:rtl/>
        </w:rPr>
        <w:t xml:space="preserve"> </w:t>
      </w:r>
      <w:r w:rsidRPr="005749D2">
        <w:rPr>
          <w:rFonts w:ascii="Century" w:hAnsi="Century" w:hint="eastAsia"/>
          <w:rtl/>
        </w:rPr>
        <w:t>מז</w:t>
      </w:r>
      <w:r w:rsidRPr="005749D2">
        <w:rPr>
          <w:rFonts w:ascii="Century" w:hAnsi="Century"/>
          <w:rtl/>
        </w:rPr>
        <w:t>(5) 404</w:t>
      </w:r>
      <w:r w:rsidRPr="005749D2">
        <w:rPr>
          <w:rFonts w:ascii="Century" w:hAnsi="Century" w:hint="cs"/>
          <w:rtl/>
        </w:rPr>
        <w:t xml:space="preserve"> (1993); ו</w:t>
      </w:r>
      <w:r w:rsidRPr="005749D2">
        <w:rPr>
          <w:rFonts w:ascii="Century" w:hAnsi="Century" w:hint="eastAsia"/>
          <w:rtl/>
        </w:rPr>
        <w:t>בג</w:t>
      </w:r>
      <w:r w:rsidRPr="005749D2">
        <w:rPr>
          <w:rFonts w:ascii="Century" w:hAnsi="Century"/>
          <w:rtl/>
        </w:rPr>
        <w:t>"</w:t>
      </w:r>
      <w:r w:rsidRPr="005749D2">
        <w:rPr>
          <w:rFonts w:ascii="Century" w:hAnsi="Century" w:hint="eastAsia"/>
          <w:rtl/>
        </w:rPr>
        <w:t>ץ</w:t>
      </w:r>
      <w:r w:rsidRPr="005749D2">
        <w:rPr>
          <w:rFonts w:ascii="Century" w:hAnsi="Century"/>
          <w:rtl/>
        </w:rPr>
        <w:t xml:space="preserve"> 4267/93 </w:t>
      </w:r>
      <w:r w:rsidRPr="005749D2">
        <w:rPr>
          <w:rFonts w:ascii="Century" w:hAnsi="Century" w:cs="Miriam" w:hint="eastAsia"/>
          <w:b/>
          <w:spacing w:val="0"/>
          <w:szCs w:val="24"/>
          <w:rtl/>
        </w:rPr>
        <w:t>אמיתי</w:t>
      </w:r>
      <w:r w:rsidRPr="005749D2">
        <w:rPr>
          <w:rFonts w:ascii="Century" w:hAnsi="Century" w:cs="Miriam"/>
          <w:b/>
          <w:spacing w:val="0"/>
          <w:szCs w:val="24"/>
          <w:rtl/>
        </w:rPr>
        <w:t xml:space="preserve"> </w:t>
      </w:r>
      <w:r w:rsidRPr="00942010">
        <w:rPr>
          <w:rFonts w:ascii="Century" w:hAnsi="Century"/>
          <w:rtl/>
        </w:rPr>
        <w:t>–</w:t>
      </w:r>
      <w:r w:rsidRPr="005749D2">
        <w:rPr>
          <w:rFonts w:ascii="Century" w:hAnsi="Century" w:cs="Miriam"/>
          <w:b/>
          <w:spacing w:val="0"/>
          <w:szCs w:val="24"/>
          <w:rtl/>
        </w:rPr>
        <w:t xml:space="preserve"> </w:t>
      </w:r>
      <w:r w:rsidRPr="005749D2">
        <w:rPr>
          <w:rFonts w:ascii="Century" w:hAnsi="Century" w:cs="Miriam" w:hint="eastAsia"/>
          <w:b/>
          <w:spacing w:val="0"/>
          <w:szCs w:val="24"/>
          <w:rtl/>
        </w:rPr>
        <w:t>אזרחים</w:t>
      </w:r>
      <w:r w:rsidRPr="005749D2">
        <w:rPr>
          <w:rFonts w:ascii="Century" w:hAnsi="Century" w:cs="Miriam"/>
          <w:b/>
          <w:spacing w:val="0"/>
          <w:szCs w:val="24"/>
          <w:rtl/>
        </w:rPr>
        <w:t xml:space="preserve"> </w:t>
      </w:r>
      <w:r w:rsidRPr="005749D2">
        <w:rPr>
          <w:rFonts w:ascii="Century" w:hAnsi="Century" w:cs="Miriam" w:hint="eastAsia"/>
          <w:b/>
          <w:spacing w:val="0"/>
          <w:szCs w:val="24"/>
          <w:rtl/>
        </w:rPr>
        <w:t>למען</w:t>
      </w:r>
      <w:r w:rsidRPr="005749D2">
        <w:rPr>
          <w:rFonts w:ascii="Century" w:hAnsi="Century" w:cs="Miriam"/>
          <w:b/>
          <w:spacing w:val="0"/>
          <w:szCs w:val="24"/>
          <w:rtl/>
        </w:rPr>
        <w:t xml:space="preserve"> </w:t>
      </w:r>
      <w:r w:rsidRPr="005749D2">
        <w:rPr>
          <w:rFonts w:ascii="Century" w:hAnsi="Century" w:cs="Miriam" w:hint="eastAsia"/>
          <w:b/>
          <w:spacing w:val="0"/>
          <w:szCs w:val="24"/>
          <w:rtl/>
        </w:rPr>
        <w:t>מינהל</w:t>
      </w:r>
      <w:r w:rsidRPr="005749D2">
        <w:rPr>
          <w:rFonts w:ascii="Century" w:hAnsi="Century" w:cs="Miriam"/>
          <w:b/>
          <w:spacing w:val="0"/>
          <w:szCs w:val="24"/>
          <w:rtl/>
        </w:rPr>
        <w:t xml:space="preserve"> </w:t>
      </w:r>
      <w:r w:rsidRPr="005749D2">
        <w:rPr>
          <w:rFonts w:ascii="Century" w:hAnsi="Century" w:cs="Miriam" w:hint="eastAsia"/>
          <w:b/>
          <w:spacing w:val="0"/>
          <w:szCs w:val="24"/>
          <w:rtl/>
        </w:rPr>
        <w:t>תקין</w:t>
      </w:r>
      <w:r w:rsidRPr="005749D2">
        <w:rPr>
          <w:rFonts w:ascii="Century" w:hAnsi="Century" w:cs="Miriam"/>
          <w:b/>
          <w:spacing w:val="0"/>
          <w:szCs w:val="24"/>
          <w:rtl/>
        </w:rPr>
        <w:t xml:space="preserve"> </w:t>
      </w:r>
      <w:r w:rsidRPr="005749D2">
        <w:rPr>
          <w:rFonts w:ascii="Century" w:hAnsi="Century" w:cs="Miriam" w:hint="eastAsia"/>
          <w:b/>
          <w:spacing w:val="0"/>
          <w:szCs w:val="24"/>
          <w:rtl/>
        </w:rPr>
        <w:t>וטוהר</w:t>
      </w:r>
      <w:r w:rsidRPr="005749D2">
        <w:rPr>
          <w:rFonts w:ascii="Century" w:hAnsi="Century" w:cs="Miriam"/>
          <w:b/>
          <w:spacing w:val="0"/>
          <w:szCs w:val="24"/>
          <w:rtl/>
        </w:rPr>
        <w:t xml:space="preserve"> </w:t>
      </w:r>
      <w:r w:rsidRPr="005749D2">
        <w:rPr>
          <w:rFonts w:ascii="Century" w:hAnsi="Century" w:cs="Miriam" w:hint="eastAsia"/>
          <w:b/>
          <w:spacing w:val="0"/>
          <w:szCs w:val="24"/>
          <w:rtl/>
        </w:rPr>
        <w:t>המידות</w:t>
      </w:r>
      <w:r w:rsidRPr="005749D2">
        <w:rPr>
          <w:rFonts w:ascii="Century" w:hAnsi="Century" w:cs="Miriam"/>
          <w:b/>
          <w:spacing w:val="0"/>
          <w:szCs w:val="24"/>
          <w:rtl/>
        </w:rPr>
        <w:t xml:space="preserve"> </w:t>
      </w:r>
      <w:r w:rsidRPr="005749D2">
        <w:rPr>
          <w:rFonts w:ascii="Century" w:hAnsi="Century" w:cs="Miriam" w:hint="eastAsia"/>
          <w:b/>
          <w:spacing w:val="0"/>
          <w:szCs w:val="24"/>
          <w:rtl/>
        </w:rPr>
        <w:t>נ</w:t>
      </w:r>
      <w:r w:rsidRPr="005749D2">
        <w:rPr>
          <w:rFonts w:ascii="Century" w:hAnsi="Century" w:cs="Miriam"/>
          <w:b/>
          <w:spacing w:val="0"/>
          <w:szCs w:val="24"/>
          <w:rtl/>
        </w:rPr>
        <w:t xml:space="preserve">' </w:t>
      </w:r>
      <w:r w:rsidRPr="005749D2">
        <w:rPr>
          <w:rFonts w:ascii="Century" w:hAnsi="Century" w:cs="Miriam" w:hint="eastAsia"/>
          <w:b/>
          <w:spacing w:val="0"/>
          <w:szCs w:val="24"/>
          <w:rtl/>
        </w:rPr>
        <w:t>יצחק</w:t>
      </w:r>
      <w:r w:rsidRPr="005749D2">
        <w:rPr>
          <w:rFonts w:ascii="Century" w:hAnsi="Century" w:cs="Miriam"/>
          <w:b/>
          <w:spacing w:val="0"/>
          <w:szCs w:val="24"/>
          <w:rtl/>
        </w:rPr>
        <w:t xml:space="preserve"> </w:t>
      </w:r>
      <w:r w:rsidRPr="005749D2">
        <w:rPr>
          <w:rFonts w:ascii="Century" w:hAnsi="Century" w:cs="Miriam" w:hint="eastAsia"/>
          <w:b/>
          <w:spacing w:val="0"/>
          <w:szCs w:val="24"/>
          <w:rtl/>
        </w:rPr>
        <w:t>רבין</w:t>
      </w:r>
      <w:r w:rsidRPr="005749D2">
        <w:rPr>
          <w:rFonts w:ascii="Century" w:hAnsi="Century" w:cs="Miriam"/>
          <w:b/>
          <w:spacing w:val="0"/>
          <w:szCs w:val="24"/>
          <w:rtl/>
        </w:rPr>
        <w:t xml:space="preserve">, </w:t>
      </w:r>
      <w:r w:rsidRPr="005749D2">
        <w:rPr>
          <w:rFonts w:ascii="Century" w:hAnsi="Century" w:cs="Miriam" w:hint="eastAsia"/>
          <w:b/>
          <w:spacing w:val="0"/>
          <w:szCs w:val="24"/>
          <w:rtl/>
        </w:rPr>
        <w:t>ראש</w:t>
      </w:r>
      <w:r w:rsidRPr="005749D2">
        <w:rPr>
          <w:rFonts w:ascii="Century" w:hAnsi="Century" w:cs="Miriam"/>
          <w:b/>
          <w:spacing w:val="0"/>
          <w:szCs w:val="24"/>
          <w:rtl/>
        </w:rPr>
        <w:t xml:space="preserve"> </w:t>
      </w:r>
      <w:r w:rsidRPr="005749D2">
        <w:rPr>
          <w:rFonts w:ascii="Century" w:hAnsi="Century" w:cs="Miriam" w:hint="eastAsia"/>
          <w:b/>
          <w:spacing w:val="0"/>
          <w:szCs w:val="24"/>
          <w:rtl/>
        </w:rPr>
        <w:t>ממשלת</w:t>
      </w:r>
      <w:r w:rsidRPr="005749D2">
        <w:rPr>
          <w:rFonts w:ascii="Century" w:hAnsi="Century" w:cs="Miriam"/>
          <w:b/>
          <w:spacing w:val="0"/>
          <w:szCs w:val="24"/>
          <w:rtl/>
        </w:rPr>
        <w:t xml:space="preserve"> </w:t>
      </w:r>
      <w:r w:rsidRPr="005749D2">
        <w:rPr>
          <w:rFonts w:ascii="Century" w:hAnsi="Century" w:cs="Miriam" w:hint="eastAsia"/>
          <w:b/>
          <w:spacing w:val="0"/>
          <w:szCs w:val="24"/>
          <w:rtl/>
        </w:rPr>
        <w:t>ישראל</w:t>
      </w:r>
      <w:r w:rsidRPr="005749D2">
        <w:rPr>
          <w:rFonts w:ascii="Century" w:hAnsi="Century"/>
          <w:rtl/>
        </w:rPr>
        <w:t xml:space="preserve">, </w:t>
      </w:r>
      <w:r w:rsidRPr="005749D2">
        <w:rPr>
          <w:rFonts w:ascii="Century" w:hAnsi="Century" w:hint="eastAsia"/>
          <w:rtl/>
        </w:rPr>
        <w:t>פ</w:t>
      </w:r>
      <w:r w:rsidRPr="005749D2">
        <w:rPr>
          <w:rFonts w:ascii="Century" w:hAnsi="Century"/>
          <w:rtl/>
        </w:rPr>
        <w:t>"</w:t>
      </w:r>
      <w:r w:rsidRPr="005749D2">
        <w:rPr>
          <w:rFonts w:ascii="Century" w:hAnsi="Century" w:hint="eastAsia"/>
          <w:rtl/>
        </w:rPr>
        <w:t>ד</w:t>
      </w:r>
      <w:r w:rsidRPr="005749D2">
        <w:rPr>
          <w:rFonts w:ascii="Century" w:hAnsi="Century"/>
          <w:rtl/>
        </w:rPr>
        <w:t xml:space="preserve"> </w:t>
      </w:r>
      <w:r w:rsidRPr="005749D2">
        <w:rPr>
          <w:rFonts w:ascii="Century" w:hAnsi="Century" w:hint="eastAsia"/>
          <w:rtl/>
        </w:rPr>
        <w:t>מז</w:t>
      </w:r>
      <w:r w:rsidRPr="000A1340">
        <w:rPr>
          <w:rtl/>
        </w:rPr>
        <w:t>(5) 441 (1993)</w:t>
      </w:r>
      <w:r>
        <w:rPr>
          <w:rFonts w:hint="cs"/>
          <w:rtl/>
        </w:rPr>
        <w:t>), נאלץ ראש הממשלה לפטר את ראובן בשל כתב האישום שהוגש כנגדו בעבירת שוחד.</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ראובן המשיך במירוץ לפסגה ונבחר לראשות הממשלה. למותר לציין כי ראש הממשלה חולש, מתוקף תפקידו, על שר הפנים, שחולש על ראש הרשות המקומית, שחולש בתורו על ראש מחלקת המים בעיר, שחולש בתורו על קוראי מוני המים במועצה, חד-גדיא. </w:t>
      </w:r>
    </w:p>
    <w:p w:rsidR="00503E45" w:rsidRDefault="00503E45" w:rsidP="00503E45">
      <w:pPr>
        <w:pStyle w:val="Ruller40"/>
        <w:rPr>
          <w:rtl/>
        </w:rPr>
      </w:pPr>
    </w:p>
    <w:p w:rsidR="00503E45" w:rsidRDefault="00503E45" w:rsidP="00503E45">
      <w:pPr>
        <w:pStyle w:val="Ruller40"/>
        <w:rPr>
          <w:rtl/>
        </w:rPr>
      </w:pPr>
      <w:r>
        <w:rPr>
          <w:rFonts w:hint="cs"/>
          <w:rtl/>
        </w:rPr>
        <w:t>5.</w:t>
      </w:r>
      <w:r>
        <w:rPr>
          <w:rFonts w:hint="cs"/>
          <w:rtl/>
        </w:rPr>
        <w:tab/>
        <w:t xml:space="preserve">וכעת, משעמדנו במילים פשוטות על סיפורו של ראובן, נקל להבין את טענתם של העותרים, שהצביעו על התוצאה האנומלית לפיה מי שאינו יכול לשמש בשורה של תפקידים במעלה הפירמידה, החל בתפקיד זוטר וכלה בתפקיד של שר </w:t>
      </w:r>
      <w:r>
        <w:rPr>
          <w:rtl/>
        </w:rPr>
        <w:t>–</w:t>
      </w:r>
      <w:r>
        <w:rPr>
          <w:rFonts w:hint="cs"/>
          <w:rtl/>
        </w:rPr>
        <w:t xml:space="preserve"> יכול לכהן בראש הפירמידה בתפקיד ראש הממשלה. ואל יהא הדבר פשוט בעיני הקורא.</w:t>
      </w:r>
    </w:p>
    <w:p w:rsidR="00503E45" w:rsidRDefault="00503E45" w:rsidP="00503E45">
      <w:pPr>
        <w:pStyle w:val="Ruller40"/>
        <w:rPr>
          <w:rtl/>
        </w:rPr>
      </w:pPr>
    </w:p>
    <w:p w:rsidR="00503E45" w:rsidRPr="00A67E31" w:rsidRDefault="00503E45" w:rsidP="00503E45">
      <w:pPr>
        <w:pStyle w:val="Ruller40"/>
        <w:rPr>
          <w:rFonts w:ascii="Century" w:hAnsi="Century" w:cs="Miriam"/>
          <w:b/>
          <w:spacing w:val="0"/>
          <w:szCs w:val="24"/>
          <w:rtl/>
        </w:rPr>
      </w:pPr>
      <w:r>
        <w:rPr>
          <w:rFonts w:ascii="Century" w:hAnsi="Century" w:cs="Miriam" w:hint="cs"/>
          <w:b/>
          <w:spacing w:val="0"/>
          <w:szCs w:val="24"/>
          <w:rtl/>
        </w:rPr>
        <w:t xml:space="preserve">(2) </w:t>
      </w:r>
      <w:r w:rsidRPr="00A67E31">
        <w:rPr>
          <w:rFonts w:ascii="Century" w:hAnsi="Century" w:cs="Miriam" w:hint="cs"/>
          <w:b/>
          <w:spacing w:val="0"/>
          <w:szCs w:val="24"/>
          <w:rtl/>
        </w:rPr>
        <w:t>כשירות לחוד ושיקול דעת לחוד</w:t>
      </w:r>
    </w:p>
    <w:p w:rsidR="00503E45" w:rsidRDefault="00503E45" w:rsidP="00503E45">
      <w:pPr>
        <w:pStyle w:val="Ruller40"/>
        <w:rPr>
          <w:rtl/>
        </w:rPr>
      </w:pPr>
    </w:p>
    <w:p w:rsidR="00503E45" w:rsidRDefault="00503E45" w:rsidP="00503E45">
      <w:pPr>
        <w:pStyle w:val="Ruller40"/>
        <w:rPr>
          <w:rFonts w:ascii="Century" w:hAnsi="Century"/>
          <w:rtl/>
        </w:rPr>
      </w:pPr>
      <w:r>
        <w:rPr>
          <w:rFonts w:hint="cs"/>
          <w:rtl/>
        </w:rPr>
        <w:t>6.</w:t>
      </w:r>
      <w:r>
        <w:rPr>
          <w:rFonts w:hint="cs"/>
          <w:rtl/>
        </w:rPr>
        <w:tab/>
        <w:t xml:space="preserve">אקדים ואומר כי אני מסכים עם חברתי הנשיאה, כי הלכת </w:t>
      </w:r>
      <w:r w:rsidRPr="006D7C39">
        <w:rPr>
          <w:rFonts w:ascii="Century" w:hAnsi="Century" w:cs="Miriam" w:hint="cs"/>
          <w:b/>
          <w:spacing w:val="0"/>
          <w:szCs w:val="24"/>
          <w:rtl/>
        </w:rPr>
        <w:t>דרעי-פנחסי</w:t>
      </w:r>
      <w:r w:rsidRPr="006D7C39">
        <w:rPr>
          <w:rFonts w:hint="cs"/>
          <w:rtl/>
        </w:rPr>
        <w:t xml:space="preserve"> </w:t>
      </w:r>
      <w:r>
        <w:rPr>
          <w:rFonts w:hint="cs"/>
          <w:rtl/>
        </w:rPr>
        <w:t>עדיין חיה ובועטת. מבלי להאריך בדברים, אציין את העובדה הפשוטה כי כיום, לאחר תיקון חוק יסוד:</w:t>
      </w:r>
      <w:r>
        <w:rPr>
          <w:rFonts w:hint="cs"/>
        </w:rPr>
        <w:t xml:space="preserve"> </w:t>
      </w:r>
      <w:r>
        <w:rPr>
          <w:rFonts w:hint="cs"/>
          <w:rtl/>
        </w:rPr>
        <w:t>הממשלה, סעיף 22(ב) לחוק היסוד הקובע כי "</w:t>
      </w:r>
      <w:r w:rsidRPr="006D7C39">
        <w:rPr>
          <w:rStyle w:val="default"/>
          <w:rFonts w:ascii="Century" w:hAnsi="Century"/>
          <w:rtl/>
        </w:rPr>
        <w:t>ראש הממשלה רשאי, לאחר שהודיע לממשלה על כוונתו לעשות כן, להעביר שר מכהונתו</w:t>
      </w:r>
      <w:r>
        <w:rPr>
          <w:rFonts w:ascii="Century" w:hAnsi="Century" w:hint="cs"/>
          <w:rtl/>
        </w:rPr>
        <w:t xml:space="preserve"> [...]", זהה בנוסחו לסעיף 21א(א) בחוק יסוד: הממשלה בשעה שניתן פסק הדין בעניין </w:t>
      </w:r>
      <w:r w:rsidRPr="00F411A8">
        <w:rPr>
          <w:rFonts w:ascii="Century" w:hAnsi="Century" w:cs="Miriam" w:hint="cs"/>
          <w:b/>
          <w:spacing w:val="0"/>
          <w:szCs w:val="24"/>
          <w:rtl/>
        </w:rPr>
        <w:t>דרעי-פנחסי</w:t>
      </w:r>
      <w:r w:rsidRPr="00F411A8">
        <w:rPr>
          <w:rFonts w:ascii="Century" w:hAnsi="Century" w:hint="cs"/>
          <w:rtl/>
        </w:rPr>
        <w:t>.</w:t>
      </w:r>
      <w:r>
        <w:rPr>
          <w:rFonts w:ascii="Century" w:hAnsi="Century" w:hint="cs"/>
          <w:rtl/>
        </w:rPr>
        <w:t xml:space="preserve"> חזקה על המחוקק-המכונן כי אילו ביקש לבטל את הלכת </w:t>
      </w:r>
      <w:r w:rsidRPr="00F27C74">
        <w:rPr>
          <w:rFonts w:ascii="Century" w:hAnsi="Century" w:cs="Miriam" w:hint="cs"/>
          <w:b/>
          <w:spacing w:val="0"/>
          <w:szCs w:val="24"/>
          <w:rtl/>
        </w:rPr>
        <w:t>דרעי-פנחסי</w:t>
      </w:r>
      <w:r>
        <w:rPr>
          <w:rFonts w:ascii="Century" w:hAnsi="Century" w:hint="cs"/>
          <w:rtl/>
        </w:rPr>
        <w:t xml:space="preserve">, היה עושה זאת במילים מפורשות. </w:t>
      </w:r>
    </w:p>
    <w:p w:rsidR="00503E45" w:rsidRDefault="00503E45" w:rsidP="00503E45">
      <w:pPr>
        <w:pStyle w:val="Ruller40"/>
        <w:rPr>
          <w:rtl/>
        </w:rPr>
      </w:pPr>
      <w:r>
        <w:rPr>
          <w:rFonts w:hint="cs"/>
          <w:rtl/>
        </w:rPr>
        <w:t xml:space="preserve"> </w:t>
      </w:r>
    </w:p>
    <w:p w:rsidR="00503E45" w:rsidRDefault="00503E45" w:rsidP="00503E45">
      <w:pPr>
        <w:pStyle w:val="Ruller40"/>
        <w:rPr>
          <w:rtl/>
        </w:rPr>
      </w:pPr>
      <w:r>
        <w:rPr>
          <w:rFonts w:hint="cs"/>
          <w:rtl/>
        </w:rPr>
        <w:t>7.</w:t>
      </w:r>
      <w:r>
        <w:rPr>
          <w:rFonts w:hint="cs"/>
          <w:rtl/>
        </w:rPr>
        <w:tab/>
        <w:t>סעיפים 18-17 לחוק יסוד: הממשלה קובעים כלהלן:</w:t>
      </w:r>
    </w:p>
    <w:p w:rsidR="00503E45" w:rsidRDefault="00503E45" w:rsidP="00503E45">
      <w:pPr>
        <w:pStyle w:val="Ruller40"/>
        <w:rPr>
          <w:rtl/>
        </w:rPr>
      </w:pPr>
    </w:p>
    <w:p w:rsidR="00503E45" w:rsidRPr="00F411A8" w:rsidRDefault="00503E45" w:rsidP="00503E45">
      <w:pPr>
        <w:pStyle w:val="Ruller5"/>
        <w:spacing w:line="276" w:lineRule="auto"/>
        <w:rPr>
          <w:rFonts w:ascii="Century" w:hAnsi="Century" w:cs="Miriam"/>
          <w:b/>
          <w:spacing w:val="0"/>
          <w:szCs w:val="24"/>
        </w:rPr>
      </w:pPr>
      <w:bookmarkStart w:id="5" w:name="Seif16"/>
      <w:bookmarkEnd w:id="5"/>
      <w:r w:rsidRPr="00E038E6">
        <w:rPr>
          <w:rStyle w:val="default"/>
          <w:rFonts w:ascii="Century" w:hAnsi="Century" w:cs="Miriam"/>
          <w:b/>
          <w:spacing w:val="0"/>
          <w:szCs w:val="24"/>
          <w:rtl/>
        </w:rPr>
        <w:t>חקירת ראש הממשלה בתקופת כהונתו ואחריה, הגשת כתב אישום והרשעה</w:t>
      </w:r>
    </w:p>
    <w:p w:rsidR="00503E45" w:rsidRPr="00F411A8" w:rsidRDefault="00503E45" w:rsidP="00503E45">
      <w:pPr>
        <w:pStyle w:val="Ruller5"/>
        <w:rPr>
          <w:rFonts w:ascii="Century" w:hAnsi="Century"/>
          <w:rtl/>
        </w:rPr>
      </w:pPr>
      <w:r w:rsidRPr="00F411A8">
        <w:rPr>
          <w:rStyle w:val="default"/>
          <w:rFonts w:ascii="Century" w:hAnsi="Century"/>
          <w:rtl/>
        </w:rPr>
        <w:t>17. (א)</w:t>
      </w:r>
      <w:r w:rsidRPr="00F411A8">
        <w:rPr>
          <w:rStyle w:val="default"/>
          <w:rFonts w:ascii="Century" w:hAnsi="Century" w:hint="cs"/>
          <w:rtl/>
        </w:rPr>
        <w:t xml:space="preserve"> </w:t>
      </w:r>
      <w:r w:rsidRPr="00F411A8">
        <w:rPr>
          <w:rStyle w:val="default"/>
          <w:rFonts w:ascii="Century" w:hAnsi="Century"/>
          <w:rtl/>
        </w:rPr>
        <w:t>לא תיפתח חקירה פלילית נגד ראש הממשלה אלא בהסכמת היועץ המשפטי לממשלה.</w:t>
      </w:r>
    </w:p>
    <w:p w:rsidR="00503E45" w:rsidRPr="00F411A8" w:rsidRDefault="00503E45" w:rsidP="00503E45">
      <w:pPr>
        <w:pStyle w:val="Ruller5"/>
        <w:rPr>
          <w:rFonts w:ascii="Century" w:hAnsi="Century"/>
          <w:rtl/>
        </w:rPr>
      </w:pPr>
      <w:r w:rsidRPr="00F411A8">
        <w:rPr>
          <w:rStyle w:val="default"/>
          <w:rFonts w:ascii="Century" w:hAnsi="Century"/>
          <w:rtl/>
        </w:rPr>
        <w:t>(ב)</w:t>
      </w:r>
      <w:r w:rsidRPr="00F411A8">
        <w:rPr>
          <w:rStyle w:val="default"/>
          <w:rFonts w:ascii="Century" w:hAnsi="Century" w:hint="cs"/>
          <w:rtl/>
        </w:rPr>
        <w:t xml:space="preserve"> </w:t>
      </w:r>
      <w:r w:rsidRPr="00F411A8">
        <w:rPr>
          <w:rStyle w:val="default"/>
          <w:rFonts w:ascii="Century" w:hAnsi="Century"/>
          <w:rtl/>
        </w:rPr>
        <w:t>לא תיפתח חקירה פלילית נגד מי שכיהן כראש הממשלה, בשל חשד לביצוע עבירה שנעברה בעת כהונתו או בשנה לאחר שחדל לכהן, אלא בהסכמת היועץ המשפטי לממשלה.</w:t>
      </w:r>
    </w:p>
    <w:p w:rsidR="00503E45" w:rsidRPr="00F411A8" w:rsidRDefault="00503E45" w:rsidP="00503E45">
      <w:pPr>
        <w:pStyle w:val="Ruller5"/>
        <w:rPr>
          <w:rFonts w:ascii="Century" w:hAnsi="Century"/>
          <w:rtl/>
        </w:rPr>
      </w:pPr>
      <w:r w:rsidRPr="00F411A8">
        <w:rPr>
          <w:rStyle w:val="default"/>
          <w:rFonts w:ascii="Century" w:hAnsi="Century"/>
          <w:rtl/>
        </w:rPr>
        <w:t>(ג)</w:t>
      </w:r>
      <w:r w:rsidRPr="00F411A8">
        <w:rPr>
          <w:rStyle w:val="default"/>
          <w:rFonts w:ascii="Century" w:hAnsi="Century" w:hint="cs"/>
          <w:rtl/>
        </w:rPr>
        <w:t xml:space="preserve"> </w:t>
      </w:r>
      <w:r w:rsidRPr="00F411A8">
        <w:rPr>
          <w:rStyle w:val="default"/>
          <w:rFonts w:ascii="Century" w:hAnsi="Century"/>
          <w:rtl/>
        </w:rPr>
        <w:t xml:space="preserve">כתב אישום נגד ראש הממשלה יוגש בידי היועץ המשפטי לממשלה לבית המשפט המחוזי בירושלים, שישב בהרכב של שלושה שופטים; </w:t>
      </w:r>
      <w:r w:rsidRPr="00F27C74">
        <w:rPr>
          <w:rStyle w:val="default"/>
          <w:rFonts w:ascii="Century" w:hAnsi="Century" w:cs="Miriam"/>
          <w:b/>
          <w:spacing w:val="0"/>
          <w:szCs w:val="24"/>
          <w:rtl/>
        </w:rPr>
        <w:t>הוראות בענין כתב אישום שהוגש בטרם החל ראש הממשלה לכהן בתפקידו ייקבעו בחוק</w:t>
      </w:r>
      <w:r w:rsidRPr="00F411A8">
        <w:rPr>
          <w:rStyle w:val="default"/>
          <w:rFonts w:ascii="Century" w:hAnsi="Century"/>
          <w:rtl/>
        </w:rPr>
        <w:t>.</w:t>
      </w:r>
    </w:p>
    <w:p w:rsidR="00503E45" w:rsidRPr="00F411A8" w:rsidRDefault="00503E45" w:rsidP="00503E45">
      <w:pPr>
        <w:pStyle w:val="Ruller5"/>
        <w:rPr>
          <w:rFonts w:ascii="Century" w:hAnsi="Century"/>
          <w:rtl/>
        </w:rPr>
      </w:pPr>
      <w:r w:rsidRPr="00F411A8">
        <w:rPr>
          <w:rStyle w:val="default"/>
          <w:rFonts w:ascii="Century" w:hAnsi="Century" w:hint="cs"/>
          <w:rtl/>
        </w:rPr>
        <w:t>(</w:t>
      </w:r>
      <w:r w:rsidRPr="00F411A8">
        <w:rPr>
          <w:rStyle w:val="default"/>
          <w:rFonts w:ascii="Century" w:hAnsi="Century"/>
          <w:rtl/>
        </w:rPr>
        <w:t>ד)</w:t>
      </w:r>
      <w:r w:rsidRPr="00F411A8">
        <w:rPr>
          <w:rStyle w:val="default"/>
          <w:rFonts w:ascii="Century" w:hAnsi="Century" w:hint="cs"/>
          <w:rtl/>
        </w:rPr>
        <w:t xml:space="preserve"> </w:t>
      </w:r>
      <w:r w:rsidRPr="00F411A8">
        <w:rPr>
          <w:rStyle w:val="default"/>
          <w:rFonts w:ascii="Century" w:hAnsi="Century"/>
          <w:rtl/>
        </w:rPr>
        <w:t>בית המשפט שהרשיע את ראש הממשלה בעבירה, יקבע בפסק דינו אם יש באותה עבירה משום קלון.</w:t>
      </w:r>
    </w:p>
    <w:p w:rsidR="00503E45" w:rsidRDefault="00503E45" w:rsidP="00503E45">
      <w:pPr>
        <w:pStyle w:val="Ruller40"/>
        <w:rPr>
          <w:rtl/>
        </w:rPr>
      </w:pPr>
    </w:p>
    <w:p w:rsidR="00503E45" w:rsidRPr="00F27C74" w:rsidRDefault="00503E45" w:rsidP="00503E45">
      <w:pPr>
        <w:pStyle w:val="Ruller5"/>
        <w:spacing w:line="276" w:lineRule="auto"/>
        <w:rPr>
          <w:rtl/>
        </w:rPr>
      </w:pPr>
      <w:bookmarkStart w:id="6" w:name="Seif17"/>
      <w:bookmarkEnd w:id="6"/>
      <w:r w:rsidRPr="00F27C74">
        <w:rPr>
          <w:rStyle w:val="default"/>
          <w:rFonts w:ascii="Century" w:hAnsi="Century" w:cs="Miriam"/>
          <w:b/>
          <w:spacing w:val="0"/>
          <w:szCs w:val="24"/>
          <w:rtl/>
        </w:rPr>
        <w:t>הפסקת כהונה של ראש הממשלה מחמת עבירה</w:t>
      </w:r>
    </w:p>
    <w:p w:rsidR="00503E45" w:rsidRPr="00F411A8" w:rsidRDefault="00503E45" w:rsidP="00503E45">
      <w:pPr>
        <w:pStyle w:val="Ruller5"/>
        <w:rPr>
          <w:rFonts w:ascii="Century" w:hAnsi="Century"/>
          <w:rtl/>
        </w:rPr>
      </w:pPr>
      <w:r w:rsidRPr="00F411A8">
        <w:rPr>
          <w:rStyle w:val="default"/>
          <w:rFonts w:ascii="Century" w:hAnsi="Century"/>
          <w:rtl/>
        </w:rPr>
        <w:t>18.</w:t>
      </w:r>
      <w:r>
        <w:rPr>
          <w:rStyle w:val="default"/>
          <w:rFonts w:ascii="Century" w:hAnsi="Century" w:hint="cs"/>
          <w:rtl/>
        </w:rPr>
        <w:t xml:space="preserve"> </w:t>
      </w:r>
      <w:r w:rsidRPr="00F411A8">
        <w:rPr>
          <w:rStyle w:val="default"/>
          <w:rFonts w:ascii="Century" w:hAnsi="Century"/>
          <w:rtl/>
        </w:rPr>
        <w:t>(א)</w:t>
      </w:r>
      <w:r>
        <w:rPr>
          <w:rStyle w:val="default"/>
          <w:rFonts w:ascii="Century" w:hAnsi="Century" w:hint="cs"/>
          <w:rtl/>
        </w:rPr>
        <w:t xml:space="preserve"> </w:t>
      </w:r>
      <w:r w:rsidRPr="00F411A8">
        <w:rPr>
          <w:rStyle w:val="default"/>
          <w:rFonts w:ascii="Century" w:hAnsi="Century"/>
          <w:rtl/>
        </w:rPr>
        <w:t>הכנסת רשאית, בהחלטה ברוב חבריה, להעביר מכהונתו את ראש הממשלה שהורשע בעבירה ובית המשפט קבע בפסק דינו שיש עמה משום קלון; החליטה הכנסת כאמור, יראו את הממשלה כאילו התפטרה עם קבלת ההחלטה.</w:t>
      </w:r>
    </w:p>
    <w:p w:rsidR="00503E45" w:rsidRPr="00F411A8" w:rsidRDefault="00503E45" w:rsidP="00503E45">
      <w:pPr>
        <w:pStyle w:val="Ruller5"/>
        <w:rPr>
          <w:rFonts w:ascii="Century" w:hAnsi="Century"/>
          <w:rtl/>
        </w:rPr>
      </w:pPr>
      <w:r w:rsidRPr="00F411A8">
        <w:rPr>
          <w:rStyle w:val="default"/>
          <w:rFonts w:ascii="Century" w:hAnsi="Century"/>
          <w:rtl/>
        </w:rPr>
        <w:t>(ב)</w:t>
      </w:r>
      <w:r>
        <w:rPr>
          <w:rStyle w:val="default"/>
          <w:rFonts w:ascii="Century" w:hAnsi="Century" w:hint="cs"/>
          <w:rtl/>
        </w:rPr>
        <w:t xml:space="preserve"> </w:t>
      </w:r>
      <w:r w:rsidRPr="00F411A8">
        <w:rPr>
          <w:rStyle w:val="default"/>
          <w:rFonts w:ascii="Century" w:hAnsi="Century"/>
          <w:rtl/>
        </w:rPr>
        <w:t>בתוך 30 ימים מיום מתן פסק הדין כאמור בסעיף קטן (א), תחליט ועדת הכנסת של הכנסת בדבר המלצתה לענין העברת ראש הממשלה מכהונתו ותביא את המלצתה בפני מליאת הכנסת; לא הביאה ועדת הכנסת את המלצתה בתוך המועד האמור, יעלה יושב ראש הכנסת את הענין לדיון במליאת הכנסת.</w:t>
      </w:r>
    </w:p>
    <w:p w:rsidR="00503E45" w:rsidRPr="00F411A8" w:rsidRDefault="00503E45" w:rsidP="00503E45">
      <w:pPr>
        <w:pStyle w:val="Ruller5"/>
        <w:rPr>
          <w:rFonts w:ascii="Century" w:hAnsi="Century"/>
          <w:rtl/>
        </w:rPr>
      </w:pPr>
      <w:r w:rsidRPr="00F411A8">
        <w:rPr>
          <w:rStyle w:val="default"/>
          <w:rFonts w:ascii="Century" w:hAnsi="Century"/>
          <w:rtl/>
        </w:rPr>
        <w:t>(ג)</w:t>
      </w:r>
      <w:r>
        <w:rPr>
          <w:rStyle w:val="default"/>
          <w:rFonts w:ascii="Century" w:hAnsi="Century" w:hint="cs"/>
          <w:rtl/>
        </w:rPr>
        <w:t xml:space="preserve"> </w:t>
      </w:r>
      <w:r w:rsidRPr="00F411A8">
        <w:rPr>
          <w:rStyle w:val="default"/>
          <w:rFonts w:ascii="Century" w:hAnsi="Century"/>
          <w:rtl/>
        </w:rPr>
        <w:t>ועדת הכנסת והכנסת לא יחליטו בדבר העברת ראש הממשלה מכהונתו אלא לאחר שניתנה לו הזדמנות לטעון את טענותיו לפניהן.</w:t>
      </w:r>
    </w:p>
    <w:p w:rsidR="00503E45" w:rsidRPr="00F411A8" w:rsidRDefault="00503E45" w:rsidP="00503E45">
      <w:pPr>
        <w:pStyle w:val="Ruller5"/>
        <w:rPr>
          <w:rFonts w:ascii="Century" w:hAnsi="Century"/>
          <w:rtl/>
        </w:rPr>
      </w:pPr>
      <w:r w:rsidRPr="00F411A8">
        <w:rPr>
          <w:rStyle w:val="default"/>
          <w:rFonts w:ascii="Century" w:hAnsi="Century"/>
          <w:rtl/>
        </w:rPr>
        <w:t>(ד)</w:t>
      </w:r>
      <w:r>
        <w:rPr>
          <w:rStyle w:val="default"/>
          <w:rFonts w:ascii="Century" w:hAnsi="Century" w:hint="cs"/>
          <w:rtl/>
        </w:rPr>
        <w:t xml:space="preserve"> </w:t>
      </w:r>
      <w:r w:rsidRPr="00F411A8">
        <w:rPr>
          <w:rStyle w:val="default"/>
          <w:rFonts w:ascii="Century" w:hAnsi="Century"/>
          <w:rtl/>
        </w:rPr>
        <w:t>לא הועבר ראש הממשלה מכהונתו לפי סעיף זה ופסק הדין כאמור בסעיף קטן (א) נעשה סופי, תיפסק כהונתו של ראש הממשלה ויראו את הממשלה כאילו התפטרה ביום שבו פסק הדין נעשה סופי.</w:t>
      </w:r>
    </w:p>
    <w:p w:rsidR="00503E45" w:rsidRDefault="00503E45" w:rsidP="00503E45">
      <w:pPr>
        <w:pStyle w:val="Ruller5"/>
        <w:rPr>
          <w:rtl/>
        </w:rPr>
      </w:pPr>
      <w:r w:rsidRPr="00F411A8">
        <w:rPr>
          <w:rStyle w:val="default"/>
          <w:rFonts w:ascii="Century" w:hAnsi="Century"/>
          <w:rtl/>
        </w:rPr>
        <w:t>(ה)</w:t>
      </w:r>
      <w:r>
        <w:rPr>
          <w:rStyle w:val="default"/>
          <w:rFonts w:ascii="Century" w:hAnsi="Century" w:hint="cs"/>
          <w:rtl/>
        </w:rPr>
        <w:t xml:space="preserve"> </w:t>
      </w:r>
      <w:r w:rsidRPr="00F411A8">
        <w:rPr>
          <w:rStyle w:val="default"/>
          <w:rFonts w:ascii="Century" w:hAnsi="Century"/>
          <w:rtl/>
        </w:rPr>
        <w:t>הוראות סעיפים 42א ו-42ב לחוק-יסוד: הכנסת, לא יחולו על ראש הממשלה.</w:t>
      </w:r>
    </w:p>
    <w:p w:rsidR="00503E45" w:rsidRDefault="00503E45" w:rsidP="00503E45">
      <w:pPr>
        <w:pStyle w:val="Ruller5"/>
        <w:rPr>
          <w:rtl/>
        </w:rPr>
      </w:pP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סעיף 18 אינו חל בענייננו, מאחר שהוא מדבר בהפסקת כהונה של ראש ממשלה מכהן ואינו עוסק בנושא שבפנינו </w:t>
      </w:r>
      <w:r>
        <w:rPr>
          <w:rtl/>
        </w:rPr>
        <w:t>–</w:t>
      </w:r>
      <w:r>
        <w:rPr>
          <w:rFonts w:hint="cs"/>
          <w:rtl/>
        </w:rPr>
        <w:t xml:space="preserve"> הטלת מלאכת הרכבת ממשלה על חבר כנסת, אחד מני 120 חברי כנסת. העובדה שחה"כ בנימין נתניהו מכהן בפועל כראש ממשלה, אינה מכניסה אותו לגדרו של סעיף 18, באשר המדובר בממשלת מעבר, שבהיותה כזו, לא זכתה לאמון הציבור, ומכאן הצורך בבחירות ובהרכבת ממשלה. בהקשר זה ראו סעיף 30(ג) לחוק יסוד: הממשלה שעניינו בהפסקת כהונה של ראש ממשלת מעבר, הקובע כי אם "</w:t>
      </w:r>
      <w:r w:rsidRPr="00F411A8">
        <w:rPr>
          <w:rStyle w:val="default"/>
          <w:rFonts w:ascii="Century" w:hAnsi="Century"/>
          <w:rtl/>
        </w:rPr>
        <w:t xml:space="preserve">הופסקה כהונתו </w:t>
      </w:r>
      <w:r w:rsidRPr="00F411A8">
        <w:rPr>
          <w:rStyle w:val="default"/>
          <w:rFonts w:ascii="Century" w:hAnsi="Century" w:cs="Miriam"/>
          <w:b/>
          <w:spacing w:val="0"/>
          <w:szCs w:val="24"/>
          <w:rtl/>
        </w:rPr>
        <w:t>מחמת עבירה</w:t>
      </w:r>
      <w:r w:rsidRPr="00F411A8">
        <w:rPr>
          <w:rStyle w:val="default"/>
          <w:rFonts w:ascii="Century" w:hAnsi="Century"/>
          <w:rtl/>
        </w:rPr>
        <w:t>, תקבע הממשלה שר אחר שהוא חבר הכנסת וחבר סיעתו של ראש הממשלה, לכהן כראש הממשלה בפועל עד שתיכון הממשלה החדשה</w:t>
      </w:r>
      <w:r>
        <w:rPr>
          <w:rStyle w:val="default"/>
          <w:rFonts w:ascii="Century" w:hAnsi="Century" w:hint="cs"/>
          <w:rtl/>
        </w:rPr>
        <w:t>"</w:t>
      </w:r>
      <w:r w:rsidRPr="00F411A8">
        <w:rPr>
          <w:rStyle w:val="default"/>
          <w:rFonts w:ascii="Century" w:hAnsi="Century"/>
          <w:rtl/>
        </w:rPr>
        <w:t>.</w:t>
      </w:r>
      <w:r>
        <w:rPr>
          <w:rFonts w:hint="cs"/>
          <w:rtl/>
        </w:rPr>
        <w:t xml:space="preserve"> לא למותר לציין את ההיגיון שבבסיס סעיף 18 לחוק, ולפיו התפטרות ראש הממשלה גוררת אחריה התפטרות הממשלה כולה. כאמור, ענייננו-שלנו בחבר-כנסת שאמור להקים ממשלה ולהתמנות לעמוד בראשה. מכאן, שיכולה להישמע הטענה כי מניעה מראש של </w:t>
      </w:r>
      <w:r w:rsidRPr="008A6D67">
        <w:rPr>
          <w:rFonts w:hint="cs"/>
          <w:rtl/>
        </w:rPr>
        <w:t>כהונתו, בבחינת אין מכניסים ראש חולה למיטה בריאה, פגיעתה</w:t>
      </w:r>
      <w:r>
        <w:rPr>
          <w:rFonts w:hint="cs"/>
          <w:rtl/>
        </w:rPr>
        <w:t xml:space="preserve"> קשה פחות ממקרה של ראש ממשלה מכהן שנאלץ להתפטר מתפקידו ועמו הממשלה כולה.  </w:t>
      </w:r>
    </w:p>
    <w:p w:rsidR="00503E45" w:rsidRDefault="00503E45" w:rsidP="00503E45">
      <w:pPr>
        <w:pStyle w:val="Ruller40"/>
        <w:rPr>
          <w:rtl/>
        </w:rPr>
      </w:pPr>
    </w:p>
    <w:p w:rsidR="00503E45" w:rsidRDefault="00503E45" w:rsidP="00503E45">
      <w:pPr>
        <w:pStyle w:val="Ruller40"/>
        <w:rPr>
          <w:rtl/>
        </w:rPr>
      </w:pPr>
      <w:r>
        <w:rPr>
          <w:rFonts w:hint="cs"/>
          <w:rtl/>
        </w:rPr>
        <w:t>8.</w:t>
      </w:r>
      <w:r>
        <w:rPr>
          <w:rtl/>
        </w:rPr>
        <w:tab/>
      </w:r>
      <w:r>
        <w:rPr>
          <w:rFonts w:hint="cs"/>
          <w:rtl/>
        </w:rPr>
        <w:t>סעיף 17(ג) לחוק יסוד: הממשלה חל בענייננו. סעיף זה מעיד על כך שהמחוקק צפה מצב שבו יוגש כתב אישום כנגד ראש ממשלה טרם כניסתו לתפקיד. בהמשך לסעיף זה נחקק סעיף 4 לחוק הממשלה, התשס"א-2001, הקובע כלהלן:</w:t>
      </w:r>
    </w:p>
    <w:p w:rsidR="00503E45" w:rsidRDefault="00503E45" w:rsidP="00503E45">
      <w:pPr>
        <w:pStyle w:val="Ruller40"/>
        <w:rPr>
          <w:rtl/>
        </w:rPr>
      </w:pPr>
    </w:p>
    <w:p w:rsidR="00503E45" w:rsidRDefault="00503E45" w:rsidP="00503E45">
      <w:pPr>
        <w:pStyle w:val="Ruller5"/>
        <w:spacing w:line="276" w:lineRule="auto"/>
        <w:rPr>
          <w:rFonts w:ascii="Century" w:hAnsi="Century" w:cs="Miriam"/>
          <w:b/>
          <w:spacing w:val="0"/>
          <w:szCs w:val="24"/>
          <w:rtl/>
        </w:rPr>
      </w:pPr>
      <w:r w:rsidRPr="00061831">
        <w:rPr>
          <w:rFonts w:ascii="Century" w:hAnsi="Century" w:cs="Miriam"/>
          <w:b/>
          <w:spacing w:val="0"/>
          <w:szCs w:val="24"/>
          <w:rtl/>
        </w:rPr>
        <w:t>הו</w:t>
      </w:r>
      <w:r w:rsidRPr="00061831">
        <w:rPr>
          <w:rFonts w:ascii="Century" w:hAnsi="Century" w:cs="Miriam" w:hint="cs"/>
          <w:b/>
          <w:spacing w:val="0"/>
          <w:szCs w:val="24"/>
          <w:rtl/>
        </w:rPr>
        <w:t>ראות לענין כתב אישום תלוי ועומד</w:t>
      </w:r>
    </w:p>
    <w:p w:rsidR="00503E45" w:rsidRDefault="00503E45" w:rsidP="00503E45">
      <w:pPr>
        <w:pStyle w:val="Ruller5"/>
        <w:rPr>
          <w:rStyle w:val="default"/>
          <w:rtl/>
        </w:rPr>
      </w:pPr>
      <w:r>
        <w:rPr>
          <w:rStyle w:val="default"/>
          <w:rFonts w:hint="cs"/>
          <w:rtl/>
        </w:rPr>
        <w:t xml:space="preserve">4. </w:t>
      </w:r>
      <w:r w:rsidRPr="003D1870">
        <w:rPr>
          <w:rStyle w:val="default"/>
          <w:rFonts w:ascii="Century" w:hAnsi="Century" w:cs="Miriam" w:hint="cs"/>
          <w:b/>
          <w:spacing w:val="0"/>
          <w:szCs w:val="24"/>
          <w:rtl/>
        </w:rPr>
        <w:t>ה</w:t>
      </w:r>
      <w:r w:rsidRPr="003D1870">
        <w:rPr>
          <w:rStyle w:val="default"/>
          <w:rFonts w:ascii="Century" w:hAnsi="Century" w:cs="Miriam"/>
          <w:b/>
          <w:spacing w:val="0"/>
          <w:szCs w:val="24"/>
          <w:rtl/>
        </w:rPr>
        <w:t>ו</w:t>
      </w:r>
      <w:r w:rsidRPr="003D1870">
        <w:rPr>
          <w:rStyle w:val="default"/>
          <w:rFonts w:ascii="Century" w:hAnsi="Century" w:cs="Miriam" w:hint="cs"/>
          <w:b/>
          <w:spacing w:val="0"/>
          <w:szCs w:val="24"/>
          <w:rtl/>
        </w:rPr>
        <w:t>גש כתב אישום נגד ראש ממשלה</w:t>
      </w:r>
      <w:r w:rsidRPr="003D1870">
        <w:rPr>
          <w:rStyle w:val="default"/>
          <w:rFonts w:hint="cs"/>
          <w:rtl/>
        </w:rPr>
        <w:t xml:space="preserve"> </w:t>
      </w:r>
      <w:r w:rsidRPr="003D1870">
        <w:rPr>
          <w:rStyle w:val="default"/>
          <w:rFonts w:ascii="Century" w:hAnsi="Century" w:cs="Miriam" w:hint="cs"/>
          <w:b/>
          <w:spacing w:val="0"/>
          <w:szCs w:val="24"/>
          <w:rtl/>
        </w:rPr>
        <w:t xml:space="preserve">או שר בטרם החלו לכהן בתפקידם </w:t>
      </w:r>
      <w:r>
        <w:rPr>
          <w:rStyle w:val="default"/>
          <w:rFonts w:hint="cs"/>
          <w:rtl/>
        </w:rPr>
        <w:t>יחולו הוראות אלה:</w:t>
      </w:r>
    </w:p>
    <w:p w:rsidR="00503E45" w:rsidRDefault="00503E45" w:rsidP="00503E45">
      <w:pPr>
        <w:pStyle w:val="Ruller5"/>
        <w:rPr>
          <w:rStyle w:val="default"/>
          <w:rtl/>
        </w:rPr>
      </w:pPr>
      <w:r>
        <w:rPr>
          <w:rStyle w:val="default"/>
          <w:rtl/>
        </w:rPr>
        <w:t>(1)</w:t>
      </w:r>
      <w:r>
        <w:rPr>
          <w:rStyle w:val="default"/>
          <w:rFonts w:hint="cs"/>
          <w:rtl/>
        </w:rPr>
        <w:t xml:space="preserve"> ה</w:t>
      </w:r>
      <w:r>
        <w:rPr>
          <w:rStyle w:val="default"/>
          <w:rtl/>
        </w:rPr>
        <w:t>ו</w:t>
      </w:r>
      <w:r>
        <w:rPr>
          <w:rStyle w:val="default"/>
          <w:rFonts w:hint="cs"/>
          <w:rtl/>
        </w:rPr>
        <w:t xml:space="preserve">חל בגביית הראיות </w:t>
      </w:r>
      <w:r>
        <w:rPr>
          <w:rStyle w:val="default"/>
          <w:rtl/>
        </w:rPr>
        <w:t>–</w:t>
      </w:r>
      <w:r>
        <w:rPr>
          <w:rStyle w:val="default"/>
          <w:rFonts w:hint="cs"/>
          <w:rtl/>
        </w:rPr>
        <w:t xml:space="preserve"> ימשיך בית </w:t>
      </w:r>
      <w:r>
        <w:rPr>
          <w:rStyle w:val="default"/>
          <w:rtl/>
        </w:rPr>
        <w:t>ה</w:t>
      </w:r>
      <w:r>
        <w:rPr>
          <w:rStyle w:val="default"/>
          <w:rFonts w:hint="cs"/>
          <w:rtl/>
        </w:rPr>
        <w:t>משפט שאליו הוגש כתב האישום במשפט;</w:t>
      </w:r>
    </w:p>
    <w:p w:rsidR="00503E45" w:rsidRDefault="00503E45" w:rsidP="00503E45">
      <w:pPr>
        <w:pStyle w:val="Ruller5"/>
        <w:rPr>
          <w:rStyle w:val="default"/>
          <w:rtl/>
        </w:rPr>
      </w:pPr>
      <w:r>
        <w:rPr>
          <w:rStyle w:val="default"/>
          <w:rFonts w:hint="cs"/>
          <w:rtl/>
        </w:rPr>
        <w:t>(2) ט</w:t>
      </w:r>
      <w:r>
        <w:rPr>
          <w:rStyle w:val="default"/>
          <w:rtl/>
        </w:rPr>
        <w:t>ר</w:t>
      </w:r>
      <w:r>
        <w:rPr>
          <w:rStyle w:val="default"/>
          <w:rFonts w:hint="cs"/>
          <w:rtl/>
        </w:rPr>
        <w:t xml:space="preserve">ם הוחל בגביית הראיות </w:t>
      </w:r>
      <w:r>
        <w:rPr>
          <w:rStyle w:val="default"/>
          <w:rtl/>
        </w:rPr>
        <w:t>–</w:t>
      </w:r>
      <w:r>
        <w:rPr>
          <w:rStyle w:val="default"/>
          <w:rFonts w:hint="cs"/>
          <w:rtl/>
        </w:rPr>
        <w:t xml:space="preserve"> יתקיים הדיון לפני בית המשפט המוסמך כאמור בסעיפים 17 או 23 לחוק היסוד, לפי הענין; הוגש כתב האישום לבית משפט שאינו בית המשפט המוסמך כאמור, יועבר הדיון לבית המשפט המוסמך;</w:t>
      </w:r>
    </w:p>
    <w:p w:rsidR="00503E45" w:rsidRDefault="00503E45" w:rsidP="00503E45">
      <w:pPr>
        <w:pStyle w:val="Ruller5"/>
        <w:rPr>
          <w:rtl/>
        </w:rPr>
      </w:pP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יכול הטוען לטעון כי משהכיר המחוקק במצב בו הוגש כתב אישום נגד ראש ממשלה טרם החל לכהן בתפקידו, אין מקום לפרשנות, שהרי החוק ברור ומפורש. </w:t>
      </w:r>
    </w:p>
    <w:p w:rsidR="00503E45" w:rsidRDefault="00503E45" w:rsidP="00503E45">
      <w:pPr>
        <w:pStyle w:val="Ruller40"/>
        <w:rPr>
          <w:rtl/>
        </w:rPr>
      </w:pPr>
    </w:p>
    <w:p w:rsidR="00503E45" w:rsidRDefault="00503E45" w:rsidP="00503E45">
      <w:pPr>
        <w:pStyle w:val="Ruller40"/>
        <w:rPr>
          <w:rtl/>
        </w:rPr>
      </w:pPr>
      <w:r>
        <w:rPr>
          <w:rFonts w:hint="cs"/>
          <w:rtl/>
        </w:rPr>
        <w:t>9.</w:t>
      </w:r>
      <w:r>
        <w:rPr>
          <w:rtl/>
        </w:rPr>
        <w:tab/>
      </w:r>
      <w:r>
        <w:rPr>
          <w:rFonts w:hint="cs"/>
          <w:rtl/>
        </w:rPr>
        <w:t xml:space="preserve">בנקודה זו נכנס לפעולה הכלל שהותווה בעניין </w:t>
      </w:r>
      <w:r w:rsidRPr="003F3CAA">
        <w:rPr>
          <w:rFonts w:ascii="Century" w:hAnsi="Century" w:cs="Miriam" w:hint="cs"/>
          <w:b/>
          <w:spacing w:val="0"/>
          <w:szCs w:val="24"/>
          <w:rtl/>
        </w:rPr>
        <w:t>דרעי-פנחסי</w:t>
      </w:r>
      <w:r w:rsidRPr="003F3CAA">
        <w:rPr>
          <w:rFonts w:hint="cs"/>
          <w:rtl/>
        </w:rPr>
        <w:t xml:space="preserve"> </w:t>
      </w:r>
      <w:r>
        <w:rPr>
          <w:rFonts w:hint="cs"/>
          <w:rtl/>
        </w:rPr>
        <w:t xml:space="preserve">ולפיו "כשירות לחוד ושיקול דעת לחוד". גם על פי הלכת </w:t>
      </w:r>
      <w:r w:rsidRPr="003F3CAA">
        <w:rPr>
          <w:rFonts w:ascii="Century" w:hAnsi="Century" w:cs="Miriam" w:hint="cs"/>
          <w:b/>
          <w:spacing w:val="0"/>
          <w:szCs w:val="24"/>
          <w:rtl/>
        </w:rPr>
        <w:t>דרעי-פנחסי</w:t>
      </w:r>
      <w:r>
        <w:rPr>
          <w:rFonts w:hint="cs"/>
          <w:rtl/>
        </w:rPr>
        <w:t>, לא כל כתב אישום מצדיק פיטוריו של שר. שר שתלוי ועומד כנגדו כתב אישום בגין סגירת מרפסת אינו כמו שר שתלוי ועומד כנגדו כתב אישום בעבירה של שוחד. לא שר המואשם בתקיפה סתם, כשר המואשם בניסיון רצח, בגידה, אונס ושאר עבירות חמורות.</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על פי מודל שיקול הדעת, מקום בו הוגש כתב אישום בגין עבירת שוחד טרם החל שר בתפקידו </w:t>
      </w:r>
      <w:r>
        <w:rPr>
          <w:rtl/>
        </w:rPr>
        <w:t>–</w:t>
      </w:r>
      <w:r>
        <w:rPr>
          <w:rFonts w:hint="cs"/>
          <w:rtl/>
        </w:rPr>
        <w:t xml:space="preserve"> יש לעצור את המינוי. על דרך של קל וחומר, הדברים יפים לכאורה גם לגבי ראש ממשלה טרם נכנס לתפקידו. זאת ועוד. בהיבט הפלילי, אמנם נמצא בחוק העונשין עבירות חמורות מעבירת השוחד. ברם, ענייננו אינו בהיבט הפלילי אלא בהיבט המינהלי-שלטוני. בהיבט זה, לעבירת השוחד יש זיקה מובהקת לתפקיד ציבורי-שלטוני בכיר כמו שר או ראש ממשלה. לדוגמה, שר המואשם בניסיון רצח של שכנו בשל סכסוך על חנייה, מעיד על עצמו שהוא חמום מוח, אך בהיבטים של עוצמת הפגיעה באמון הציבור, טוהר מידות, ניקיון כפיים, ושמירה על קופת הציבור </w:t>
      </w:r>
      <w:r>
        <w:rPr>
          <w:rtl/>
        </w:rPr>
        <w:t>–</w:t>
      </w:r>
      <w:r>
        <w:rPr>
          <w:rFonts w:hint="cs"/>
          <w:rtl/>
        </w:rPr>
        <w:t xml:space="preserve"> העננה מעל ראשו של שר הנאשם בשוחד גדולה אף יותר, בשל זיקת העבירה לתפקיד. </w:t>
      </w:r>
    </w:p>
    <w:p w:rsidR="00503E45" w:rsidRDefault="00503E45" w:rsidP="00503E45">
      <w:pPr>
        <w:pStyle w:val="Ruller40"/>
        <w:rPr>
          <w:rtl/>
        </w:rPr>
      </w:pPr>
    </w:p>
    <w:p w:rsidR="00503E45" w:rsidRPr="00060E56" w:rsidRDefault="00503E45" w:rsidP="00503E45">
      <w:pPr>
        <w:pStyle w:val="Ruller40"/>
        <w:rPr>
          <w:rFonts w:ascii="Century" w:hAnsi="Century"/>
          <w:rtl/>
        </w:rPr>
      </w:pPr>
      <w:r>
        <w:rPr>
          <w:rFonts w:hint="cs"/>
          <w:rtl/>
        </w:rPr>
        <w:t>10.</w:t>
      </w:r>
      <w:r>
        <w:rPr>
          <w:rtl/>
        </w:rPr>
        <w:tab/>
      </w:r>
      <w:r>
        <w:rPr>
          <w:rFonts w:hint="cs"/>
          <w:rtl/>
        </w:rPr>
        <w:t xml:space="preserve">משהזכרנו את הדין הפלילי, ומשהזכירה הנשיאה את חזקת החפות שעומדת לחה"כ בנימין נתניהו, נאמר את המובן מאליו. חזקת החפות עומדת במלוא עוזה ותפארתה בהליך הפלילי, אך לא במישור המינהלי-ציבורי. בדין המינהלי, גם חשדות ומידע מודיעיני יכולים לשמש כראיה מינהלית. אלה משמשים אותנו מעשה של יום ביומו בנושאים שונים ומגוונים: "מתן אזרחות מכוח שבות או רשיון ישיבה, כניסה לארץ, רשיון נהיגה ורשיון נשק, רשיון עסק וכדומה – כל אלה מתקבלים בהחלטות מינהליות" (דברי השופט (כתוארו אז) </w:t>
      </w:r>
      <w:r w:rsidRPr="00F411A8">
        <w:rPr>
          <w:rFonts w:ascii="Century" w:hAnsi="Century" w:cs="Miriam" w:hint="cs"/>
          <w:b/>
          <w:spacing w:val="0"/>
          <w:szCs w:val="24"/>
          <w:rtl/>
        </w:rPr>
        <w:t>א' רובינשטיין</w:t>
      </w:r>
      <w:r>
        <w:rPr>
          <w:rFonts w:hint="cs"/>
          <w:rtl/>
        </w:rPr>
        <w:t xml:space="preserve"> בעניין </w:t>
      </w:r>
      <w:r w:rsidRPr="00942010">
        <w:rPr>
          <w:rFonts w:ascii="Century" w:hAnsi="Century" w:cs="Miriam" w:hint="eastAsia"/>
          <w:b/>
          <w:spacing w:val="0"/>
          <w:szCs w:val="24"/>
          <w:rtl/>
        </w:rPr>
        <w:t>ראשי</w:t>
      </w:r>
      <w:r w:rsidRPr="00942010">
        <w:rPr>
          <w:rFonts w:ascii="Century" w:hAnsi="Century" w:cs="Miriam"/>
          <w:b/>
          <w:spacing w:val="0"/>
          <w:szCs w:val="24"/>
          <w:rtl/>
        </w:rPr>
        <w:t xml:space="preserve"> </w:t>
      </w:r>
      <w:r w:rsidRPr="00942010">
        <w:rPr>
          <w:rFonts w:ascii="Century" w:hAnsi="Century" w:cs="Miriam" w:hint="eastAsia"/>
          <w:b/>
          <w:spacing w:val="0"/>
          <w:szCs w:val="24"/>
          <w:rtl/>
        </w:rPr>
        <w:t>הערים</w:t>
      </w:r>
      <w:r>
        <w:rPr>
          <w:rFonts w:ascii="Century" w:hAnsi="Century" w:hint="cs"/>
          <w:rtl/>
        </w:rPr>
        <w:t>).</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כתב אישום הוא ראיה מינהלית ברף גבוה, באשר ההנחה היא שכתב האישום מגבש ראיות לכאורה:  </w:t>
      </w:r>
    </w:p>
    <w:p w:rsidR="00503E45" w:rsidRDefault="00503E45" w:rsidP="00503E45">
      <w:pPr>
        <w:pStyle w:val="Ruller40"/>
        <w:rPr>
          <w:rtl/>
        </w:rPr>
      </w:pPr>
    </w:p>
    <w:p w:rsidR="00503E45" w:rsidRDefault="00503E45" w:rsidP="00503E45">
      <w:pPr>
        <w:pStyle w:val="Ruller5"/>
        <w:rPr>
          <w:rtl/>
        </w:rPr>
      </w:pPr>
      <w:r>
        <w:rPr>
          <w:rFonts w:hint="cs"/>
          <w:rtl/>
        </w:rPr>
        <w:t xml:space="preserve">"העקרונות הנזכרים לעיל חלים בעיקרם על הליך מינויים או הסרה מתפקיד של עובדי מדינה או נבחרי ציבור אשר הורשעו בפלילים, </w:t>
      </w:r>
      <w:r w:rsidRPr="007A068B">
        <w:rPr>
          <w:rFonts w:ascii="Century" w:hAnsi="Century" w:cs="Miriam" w:hint="cs"/>
          <w:b/>
          <w:spacing w:val="0"/>
          <w:szCs w:val="24"/>
          <w:rtl/>
        </w:rPr>
        <w:t>או כאשר קיימות ראיות מינהליות לכך שעברו עבירה פלילית חמורה</w:t>
      </w:r>
      <w:r>
        <w:rPr>
          <w:rFonts w:hint="cs"/>
          <w:rtl/>
        </w:rPr>
        <w:t xml:space="preserve">. </w:t>
      </w:r>
      <w:r w:rsidRPr="007A068B">
        <w:rPr>
          <w:rFonts w:ascii="Century" w:hAnsi="Century" w:cs="Miriam" w:hint="cs"/>
          <w:b/>
          <w:spacing w:val="0"/>
          <w:szCs w:val="24"/>
          <w:rtl/>
        </w:rPr>
        <w:t xml:space="preserve">שיקולים אלה עשויים להתקיים באותה מידה גם כאשר הוגש כתב אישום נגד נבחר ציבור, המאשימו בעבירות חמורות </w:t>
      </w:r>
      <w:r>
        <w:rPr>
          <w:rFonts w:hint="cs"/>
          <w:rtl/>
        </w:rPr>
        <w:t xml:space="preserve">(פרשת </w:t>
      </w:r>
      <w:r>
        <w:rPr>
          <w:rFonts w:ascii="Times New Roman" w:hAnsi="Times New Roman" w:cs="Miriam" w:hint="cs"/>
          <w:spacing w:val="0"/>
          <w:sz w:val="28"/>
          <w:szCs w:val="24"/>
          <w:rtl/>
        </w:rPr>
        <w:t>פנחסי,</w:t>
      </w:r>
      <w:r>
        <w:rPr>
          <w:rFonts w:hint="cs"/>
          <w:rtl/>
        </w:rPr>
        <w:t xml:space="preserve"> עמודים 467-468) כפי שנאמר שם:</w:t>
      </w:r>
    </w:p>
    <w:p w:rsidR="00503E45" w:rsidRDefault="00503E45" w:rsidP="00503E45">
      <w:pPr>
        <w:pStyle w:val="Ruller5"/>
        <w:rPr>
          <w:rtl/>
        </w:rPr>
      </w:pPr>
    </w:p>
    <w:p w:rsidR="00503E45" w:rsidRDefault="00503E45" w:rsidP="00503E45">
      <w:pPr>
        <w:pStyle w:val="Ruller5"/>
        <w:rPr>
          <w:rtl/>
        </w:rPr>
      </w:pPr>
      <w:r>
        <w:rPr>
          <w:rFonts w:hint="cs"/>
          <w:rtl/>
        </w:rPr>
        <w:t xml:space="preserve">'ענין לנו בפעולה שלטונית של הפסקת כהונה. לשם ביסוסה של פעולה זו, אין צורך בהרשעה פלילית. </w:t>
      </w:r>
      <w:r w:rsidRPr="007A068B">
        <w:rPr>
          <w:rFonts w:ascii="Century" w:hAnsi="Century" w:cs="Miriam" w:hint="cs"/>
          <w:b/>
          <w:spacing w:val="0"/>
          <w:szCs w:val="24"/>
          <w:rtl/>
        </w:rPr>
        <w:t xml:space="preserve">חזקת החפות – העומדת לכל נאשם – אינה מונעת הפסקת כהונתו של נושא משרה שלטונית, </w:t>
      </w:r>
      <w:r>
        <w:rPr>
          <w:rFonts w:hint="cs"/>
          <w:rtl/>
        </w:rPr>
        <w:t xml:space="preserve">ובלבד שבפני הרשות השלטונית המחליטה מצויה ראייה, אשר בשים לב לנסיבותיה, היא כזו 'אשר כל אדם סביר היה רואה אותה כבעלת ערך הוכחתי והיה סומך עליה...' </w:t>
      </w:r>
    </w:p>
    <w:p w:rsidR="00503E45" w:rsidRDefault="00503E45" w:rsidP="00503E45">
      <w:pPr>
        <w:pStyle w:val="Ruller5"/>
        <w:rPr>
          <w:rtl/>
        </w:rPr>
      </w:pPr>
    </w:p>
    <w:p w:rsidR="00503E45" w:rsidRDefault="00503E45" w:rsidP="00503E45">
      <w:pPr>
        <w:pStyle w:val="Ruller5"/>
        <w:rPr>
          <w:rtl/>
        </w:rPr>
      </w:pPr>
      <w:r w:rsidRPr="007A068B">
        <w:rPr>
          <w:rFonts w:ascii="Century" w:hAnsi="Century" w:cs="Miriam" w:hint="cs"/>
          <w:b/>
          <w:spacing w:val="0"/>
          <w:szCs w:val="24"/>
          <w:rtl/>
        </w:rPr>
        <w:t>קיומן של ראיות מינהליות בדבר מעורבות אדם בעבירות פליליות הנוגעות במישרין למשרה הציבורית ולאמון הציבור בנושא המשרה עשויות להיות בעלות משקל רב ביחס להמשך מימוש זכותו לכהן בתפקיד ציבורי כנבחר ציבור</w:t>
      </w:r>
      <w:r>
        <w:rPr>
          <w:rFonts w:hint="cs"/>
          <w:rtl/>
        </w:rPr>
        <w:t xml:space="preserve">" (דברי השופטת </w:t>
      </w:r>
      <w:r w:rsidRPr="00F411A8">
        <w:rPr>
          <w:rFonts w:ascii="Century" w:hAnsi="Century" w:cs="Miriam" w:hint="cs"/>
          <w:b/>
          <w:spacing w:val="0"/>
          <w:szCs w:val="24"/>
          <w:rtl/>
        </w:rPr>
        <w:t>א' פרוקצ'יה</w:t>
      </w:r>
      <w:r w:rsidRPr="00ED1712">
        <w:rPr>
          <w:rFonts w:hint="cs"/>
          <w:rtl/>
        </w:rPr>
        <w:t xml:space="preserve"> </w:t>
      </w:r>
      <w:r>
        <w:rPr>
          <w:rFonts w:hint="cs"/>
          <w:rtl/>
        </w:rPr>
        <w:t xml:space="preserve">בבש"פ 5816/09 </w:t>
      </w:r>
      <w:r>
        <w:rPr>
          <w:rFonts w:ascii="Times New Roman" w:hAnsi="Times New Roman" w:cs="Miriam" w:hint="cs"/>
          <w:spacing w:val="0"/>
          <w:sz w:val="28"/>
          <w:szCs w:val="24"/>
          <w:rtl/>
        </w:rPr>
        <w:t>מדינת ישראל נ' זגורי</w:t>
      </w:r>
      <w:r>
        <w:rPr>
          <w:rFonts w:hint="cs"/>
          <w:rtl/>
        </w:rPr>
        <w:t xml:space="preserve"> (9.9.2009), ההדגשות הוספו </w:t>
      </w:r>
      <w:r>
        <w:rPr>
          <w:rtl/>
        </w:rPr>
        <w:t>–</w:t>
      </w:r>
      <w:r>
        <w:rPr>
          <w:rFonts w:hint="cs"/>
          <w:rtl/>
        </w:rPr>
        <w:t xml:space="preserve"> י"ע).</w:t>
      </w:r>
    </w:p>
    <w:p w:rsidR="00503E45" w:rsidRDefault="00503E45" w:rsidP="00503E45">
      <w:pPr>
        <w:pStyle w:val="Ruller5"/>
        <w:rPr>
          <w:rtl/>
        </w:rPr>
      </w:pP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רף הראיה המינהלית במקרה דנן גבוה במיוחד בהינתן שמדובר בחשדות שהתגבשו לכלל כתב אישום, ובהינתן שכתב האישום נבחן בעשרות עיניים של פרקליטים בכירים, לרבות היועץ המשפטי לממשלה, נוכח הרגישות הציבורית וההשלכות הנובעות מכתב אישום המוגש כנגד ראש ממשלה. </w:t>
      </w:r>
    </w:p>
    <w:p w:rsidR="00503E45" w:rsidRDefault="00503E45" w:rsidP="00503E45">
      <w:pPr>
        <w:pStyle w:val="Ruller40"/>
        <w:rPr>
          <w:rtl/>
        </w:rPr>
      </w:pPr>
    </w:p>
    <w:p w:rsidR="00503E45" w:rsidRPr="00BA1A91" w:rsidRDefault="00503E45" w:rsidP="00503E45">
      <w:pPr>
        <w:pStyle w:val="Ruller40"/>
        <w:rPr>
          <w:rFonts w:ascii="Century" w:hAnsi="Century" w:cs="Miriam"/>
          <w:b/>
          <w:spacing w:val="0"/>
          <w:szCs w:val="24"/>
          <w:rtl/>
        </w:rPr>
      </w:pPr>
      <w:r>
        <w:rPr>
          <w:rFonts w:ascii="Century" w:hAnsi="Century" w:cs="Miriam" w:hint="cs"/>
          <w:b/>
          <w:spacing w:val="0"/>
          <w:szCs w:val="24"/>
          <w:rtl/>
        </w:rPr>
        <w:t xml:space="preserve">(3) </w:t>
      </w:r>
      <w:r w:rsidRPr="00BA1A91">
        <w:rPr>
          <w:rFonts w:ascii="Century" w:hAnsi="Century" w:cs="Miriam" w:hint="cs"/>
          <w:b/>
          <w:spacing w:val="0"/>
          <w:szCs w:val="24"/>
          <w:rtl/>
        </w:rPr>
        <w:t xml:space="preserve">ההיבט הערכי </w:t>
      </w:r>
    </w:p>
    <w:p w:rsidR="00503E45" w:rsidRDefault="00503E45" w:rsidP="00503E45">
      <w:pPr>
        <w:pStyle w:val="Ruller40"/>
        <w:rPr>
          <w:rtl/>
        </w:rPr>
      </w:pPr>
      <w:r>
        <w:rPr>
          <w:rtl/>
        </w:rPr>
        <w:tab/>
      </w:r>
      <w:r>
        <w:rPr>
          <w:rFonts w:hint="cs"/>
          <w:rtl/>
        </w:rPr>
        <w:t xml:space="preserve"> </w:t>
      </w:r>
    </w:p>
    <w:p w:rsidR="00503E45" w:rsidRDefault="00503E45" w:rsidP="00503E45">
      <w:pPr>
        <w:pStyle w:val="Ruller40"/>
        <w:rPr>
          <w:rtl/>
        </w:rPr>
      </w:pPr>
      <w:r>
        <w:rPr>
          <w:rFonts w:hint="cs"/>
          <w:rtl/>
        </w:rPr>
        <w:t>11.</w:t>
      </w:r>
      <w:r>
        <w:rPr>
          <w:rtl/>
        </w:rPr>
        <w:tab/>
      </w:r>
      <w:r>
        <w:rPr>
          <w:rFonts w:hint="cs"/>
          <w:rtl/>
        </w:rPr>
        <w:t>דומה כי גם המשיבים מסכימים כי מבחינה ציבורית אין זה ראוי ואין זה רצוי כי מעל ראשו של ראש ממשלה מכהן יהיה תלוי הליך פלילי. "אבן מקיר תזעק" (</w:t>
      </w:r>
      <w:r w:rsidRPr="00F411A8">
        <w:rPr>
          <w:rFonts w:ascii="Century" w:hAnsi="Century" w:cs="Miriam" w:hint="cs"/>
          <w:b/>
          <w:spacing w:val="0"/>
          <w:szCs w:val="24"/>
          <w:rtl/>
        </w:rPr>
        <w:t>חבקוק</w:t>
      </w:r>
      <w:r>
        <w:rPr>
          <w:rFonts w:hint="cs"/>
          <w:rtl/>
        </w:rPr>
        <w:t xml:space="preserve"> ב, י"א) וגם השופט </w:t>
      </w:r>
      <w:r w:rsidRPr="00F411A8">
        <w:rPr>
          <w:rFonts w:ascii="Century" w:hAnsi="Century" w:cs="Miriam" w:hint="cs"/>
          <w:b/>
          <w:spacing w:val="0"/>
          <w:szCs w:val="24"/>
          <w:rtl/>
        </w:rPr>
        <w:t>רובינשטיין</w:t>
      </w:r>
      <w:r>
        <w:rPr>
          <w:rFonts w:hint="cs"/>
          <w:rtl/>
        </w:rPr>
        <w:t xml:space="preserve"> כמו זעק בדבריו בפרשת </w:t>
      </w:r>
      <w:r w:rsidRPr="00060E56">
        <w:rPr>
          <w:rFonts w:ascii="Century" w:hAnsi="Century" w:cs="Miriam" w:hint="cs"/>
          <w:b/>
          <w:spacing w:val="0"/>
          <w:szCs w:val="24"/>
          <w:rtl/>
        </w:rPr>
        <w:t>ראשי הערים</w:t>
      </w:r>
      <w:r>
        <w:rPr>
          <w:rFonts w:hint="cs"/>
          <w:rtl/>
        </w:rPr>
        <w:t xml:space="preserve"> (שם, בעמ' 221):</w:t>
      </w:r>
    </w:p>
    <w:p w:rsidR="00503E45" w:rsidRDefault="00503E45" w:rsidP="00503E45">
      <w:pPr>
        <w:pStyle w:val="Ruller40"/>
        <w:rPr>
          <w:rtl/>
        </w:rPr>
      </w:pPr>
    </w:p>
    <w:p w:rsidR="00503E45" w:rsidRDefault="00503E45" w:rsidP="00503E45">
      <w:pPr>
        <w:pStyle w:val="Ruller5"/>
        <w:rPr>
          <w:rtl/>
        </w:rPr>
      </w:pPr>
      <w:r>
        <w:rPr>
          <w:rFonts w:hint="cs"/>
          <w:rtl/>
        </w:rPr>
        <w:t>"האם יתכן שראש רשות שעל ראשו עננה קודרת בדמות כתב אישום חמור, אם בעבירות הקשורות לתפקידו כמו שוחד ואם בעבירות חמורות מאוד אחרות, ימשיך כאילו עולם כמנהגו"?</w:t>
      </w:r>
    </w:p>
    <w:p w:rsidR="00503E45" w:rsidRDefault="00503E45" w:rsidP="00503E45">
      <w:pPr>
        <w:pStyle w:val="Ruller5"/>
        <w:rPr>
          <w:rtl/>
        </w:rPr>
      </w:pP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בחנתי את כתבי התגובה של המשיבים המשתרעים על עמודים רבים, ולא מצאתי אמירה ערכית-נורמטיבית-מוסרית-ציבורית המצדדת בכך. </w:t>
      </w:r>
    </w:p>
    <w:p w:rsidR="00503E45" w:rsidRDefault="00503E45" w:rsidP="00503E45">
      <w:pPr>
        <w:pStyle w:val="Ruller40"/>
        <w:rPr>
          <w:rtl/>
        </w:rPr>
      </w:pPr>
    </w:p>
    <w:p w:rsidR="00503E45" w:rsidRPr="00F411A8" w:rsidRDefault="00503E45" w:rsidP="00503E45">
      <w:pPr>
        <w:pStyle w:val="Ruller40"/>
        <w:rPr>
          <w:rtl/>
        </w:rPr>
      </w:pPr>
      <w:r>
        <w:rPr>
          <w:rFonts w:hint="cs"/>
          <w:rtl/>
        </w:rPr>
        <w:t>12.</w:t>
      </w:r>
      <w:r>
        <w:rPr>
          <w:rtl/>
        </w:rPr>
        <w:tab/>
      </w:r>
      <w:r>
        <w:rPr>
          <w:rFonts w:hint="cs"/>
          <w:rtl/>
        </w:rPr>
        <w:t xml:space="preserve">בהיבט הערכי-מוסרי-ציבורי-נורמטיבי למותר להכביר מילים. משרתי הציבור ונבחרי הציבור הם נאמני הציבור. טוהר המידות בשירות הציבורי ואמון הציבור שנגזר מתדמיתו של השירות הציבורי, הם שני אבני יסוד של שלטון החוק. העותרים הפנו לדברים שאמר </w:t>
      </w:r>
      <w:r w:rsidRPr="00F411A8">
        <w:rPr>
          <w:rFonts w:hint="cs"/>
          <w:rtl/>
        </w:rPr>
        <w:t xml:space="preserve">ח"כ בנימין נתניהו, בהתייחסו </w:t>
      </w:r>
      <w:r w:rsidRPr="00F411A8">
        <w:rPr>
          <w:rFonts w:ascii="Century" w:hAnsi="Century" w:cs="Miriam" w:hint="cs"/>
          <w:b/>
          <w:spacing w:val="0"/>
          <w:szCs w:val="24"/>
          <w:rtl/>
        </w:rPr>
        <w:t>לחשדות</w:t>
      </w:r>
      <w:r w:rsidRPr="00F411A8">
        <w:rPr>
          <w:rFonts w:hint="cs"/>
          <w:rtl/>
        </w:rPr>
        <w:t xml:space="preserve"> כנגד ראש הממשלה אהוד אולמרט, עוד טרם הגשת כתב אישום:</w:t>
      </w:r>
    </w:p>
    <w:p w:rsidR="00503E45" w:rsidRPr="00F411A8" w:rsidRDefault="00503E45" w:rsidP="00503E45">
      <w:pPr>
        <w:pStyle w:val="Ruller40"/>
        <w:rPr>
          <w:strike/>
          <w:rtl/>
        </w:rPr>
      </w:pPr>
    </w:p>
    <w:p w:rsidR="00503E45" w:rsidRDefault="00503E45" w:rsidP="00503E45">
      <w:pPr>
        <w:pStyle w:val="Ruller5"/>
        <w:rPr>
          <w:rtl/>
        </w:rPr>
      </w:pPr>
      <w:r w:rsidRPr="00F411A8">
        <w:rPr>
          <w:rFonts w:hint="cs"/>
          <w:rtl/>
        </w:rPr>
        <w:t xml:space="preserve">"ראש ממשלה ששקוע עד צוואר בחקירות, </w:t>
      </w:r>
      <w:r w:rsidRPr="00942010">
        <w:rPr>
          <w:rFonts w:ascii="Century" w:hAnsi="Century" w:hint="eastAsia"/>
          <w:rtl/>
        </w:rPr>
        <w:t>אין</w:t>
      </w:r>
      <w:r w:rsidRPr="00942010">
        <w:rPr>
          <w:rFonts w:ascii="Century" w:hAnsi="Century"/>
          <w:rtl/>
        </w:rPr>
        <w:t xml:space="preserve"> </w:t>
      </w:r>
      <w:r w:rsidRPr="00942010">
        <w:rPr>
          <w:rFonts w:ascii="Century" w:hAnsi="Century" w:hint="eastAsia"/>
          <w:rtl/>
        </w:rPr>
        <w:t>לו</w:t>
      </w:r>
      <w:r w:rsidRPr="00942010">
        <w:rPr>
          <w:rFonts w:ascii="Century" w:hAnsi="Century"/>
          <w:rtl/>
        </w:rPr>
        <w:t xml:space="preserve"> </w:t>
      </w:r>
      <w:r w:rsidRPr="00942010">
        <w:rPr>
          <w:rFonts w:ascii="Century" w:hAnsi="Century" w:hint="eastAsia"/>
          <w:rtl/>
        </w:rPr>
        <w:t>מנדט</w:t>
      </w:r>
      <w:r w:rsidRPr="00942010">
        <w:rPr>
          <w:rFonts w:ascii="Century" w:hAnsi="Century"/>
          <w:rtl/>
        </w:rPr>
        <w:t xml:space="preserve"> </w:t>
      </w:r>
      <w:r w:rsidRPr="00942010">
        <w:rPr>
          <w:rFonts w:ascii="Century" w:hAnsi="Century" w:hint="eastAsia"/>
          <w:rtl/>
        </w:rPr>
        <w:t>מוסרי</w:t>
      </w:r>
      <w:r w:rsidRPr="00942010">
        <w:rPr>
          <w:rFonts w:ascii="Century" w:hAnsi="Century"/>
          <w:rtl/>
        </w:rPr>
        <w:t xml:space="preserve"> </w:t>
      </w:r>
      <w:r w:rsidRPr="00942010">
        <w:rPr>
          <w:rFonts w:ascii="Century" w:hAnsi="Century" w:hint="eastAsia"/>
          <w:rtl/>
        </w:rPr>
        <w:t>וציבורי</w:t>
      </w:r>
      <w:r w:rsidRPr="00942010">
        <w:rPr>
          <w:rFonts w:ascii="Century" w:hAnsi="Century"/>
          <w:rtl/>
        </w:rPr>
        <w:t xml:space="preserve"> </w:t>
      </w:r>
      <w:r w:rsidRPr="00F411A8">
        <w:rPr>
          <w:rFonts w:hint="cs"/>
          <w:rtl/>
        </w:rPr>
        <w:t xml:space="preserve">לקבוע דברים כל כך גורליים למדינת ישראל, </w:t>
      </w:r>
      <w:r w:rsidRPr="00F411A8">
        <w:rPr>
          <w:rFonts w:ascii="Century" w:hAnsi="Century" w:hint="cs"/>
          <w:rtl/>
        </w:rPr>
        <w:t>כי קיים חשש אמיתי, ולא בלתי מבוסס שהוא יכריע הכרעות על בסיס האינטרס האישי של ההישרדות הפוליטית שלו</w:t>
      </w:r>
      <w:r w:rsidRPr="00F411A8">
        <w:rPr>
          <w:rFonts w:hint="cs"/>
          <w:rtl/>
        </w:rPr>
        <w:t>, ולא על בסיס האינטרס הלאומי"</w:t>
      </w:r>
      <w:r>
        <w:rPr>
          <w:rFonts w:hint="cs"/>
          <w:rtl/>
        </w:rPr>
        <w:t>.</w:t>
      </w:r>
      <w:r w:rsidRPr="00F411A8">
        <w:rPr>
          <w:rFonts w:hint="cs"/>
          <w:rtl/>
        </w:rPr>
        <w:t xml:space="preserve"> </w:t>
      </w:r>
    </w:p>
    <w:p w:rsidR="00503E45" w:rsidRDefault="00503E45" w:rsidP="00503E45">
      <w:pPr>
        <w:pStyle w:val="Ruller40"/>
        <w:rPr>
          <w:rtl/>
        </w:rPr>
      </w:pPr>
    </w:p>
    <w:p w:rsidR="00503E45" w:rsidRPr="00F411A8" w:rsidRDefault="00503E45" w:rsidP="00503E45">
      <w:pPr>
        <w:pStyle w:val="Ruller40"/>
        <w:rPr>
          <w:rtl/>
        </w:rPr>
      </w:pPr>
      <w:r w:rsidRPr="00F411A8">
        <w:rPr>
          <w:rtl/>
        </w:rPr>
        <w:tab/>
      </w:r>
      <w:r>
        <w:rPr>
          <w:rFonts w:hint="cs"/>
          <w:rtl/>
        </w:rPr>
        <w:t xml:space="preserve">מכאן טענת העותרים כי </w:t>
      </w:r>
      <w:r w:rsidRPr="00F411A8">
        <w:rPr>
          <w:rFonts w:hint="cs"/>
          <w:rtl/>
        </w:rPr>
        <w:t xml:space="preserve">הדברים יפים לענייננו על דרך של קל וחומר בן בנו של קל וחומר. שבענייננו אין מדובר בחקירות ובחשדות אלא בכתב אישום; שבענייננו העבירות המיוחסות בכתב האישום נעברו על פי הנטען בתקופת הכהונה כראש ממשלה; ושבענייננו, אין מדובר בראש ממשלה מכהן ובהפסקת כהונה אלא בחבר כנסת שטרם נכנס לתפקידו כראש ממשלה. </w:t>
      </w:r>
    </w:p>
    <w:p w:rsidR="00503E45" w:rsidRPr="00F411A8" w:rsidRDefault="00503E45" w:rsidP="00503E45">
      <w:pPr>
        <w:pStyle w:val="Ruller40"/>
        <w:rPr>
          <w:rtl/>
        </w:rPr>
      </w:pPr>
    </w:p>
    <w:p w:rsidR="00503E45" w:rsidRDefault="00503E45" w:rsidP="00503E45">
      <w:pPr>
        <w:pStyle w:val="Ruller40"/>
        <w:rPr>
          <w:rFonts w:ascii="FrankRuehl" w:hAnsi="FrankRuehl"/>
          <w:rtl/>
        </w:rPr>
      </w:pPr>
      <w:r>
        <w:rPr>
          <w:rFonts w:hint="cs"/>
          <w:rtl/>
        </w:rPr>
        <w:t>13</w:t>
      </w:r>
      <w:r w:rsidRPr="00F411A8">
        <w:rPr>
          <w:rFonts w:hint="cs"/>
          <w:rtl/>
        </w:rPr>
        <w:t>.</w:t>
      </w:r>
      <w:r w:rsidRPr="00F411A8">
        <w:rPr>
          <w:rFonts w:hint="cs"/>
          <w:rtl/>
        </w:rPr>
        <w:tab/>
        <w:t xml:space="preserve">בימים של פעם, השאלה שאנו נאלצים לדון בה מן הסתם לא הייתה מגיעה לפתחנו. אלה היו הנורמות הציבוריות, נורמות של </w:t>
      </w:r>
      <w:r w:rsidRPr="00F411A8">
        <w:rPr>
          <w:rFonts w:ascii="Times New Roman" w:hAnsi="Times New Roman" w:cs="Times New Roman"/>
          <w:sz w:val="23"/>
          <w:szCs w:val="23"/>
        </w:rPr>
        <w:t>it is not done</w:t>
      </w:r>
      <w:r w:rsidRPr="00F411A8">
        <w:rPr>
          <w:rFonts w:hint="cs"/>
          <w:rtl/>
        </w:rPr>
        <w:t>, כך, חלק ופשוט. אך נורמות ציבוריות ותרבות פוליטית של פעם, אינ</w:t>
      </w:r>
      <w:r>
        <w:rPr>
          <w:rFonts w:hint="cs"/>
          <w:rtl/>
        </w:rPr>
        <w:t>ן</w:t>
      </w:r>
      <w:r w:rsidRPr="00F411A8">
        <w:rPr>
          <w:rFonts w:hint="cs"/>
          <w:rtl/>
        </w:rPr>
        <w:t xml:space="preserve"> כשל ימינו שלנו. צא ולמד על עומק</w:t>
      </w:r>
      <w:r>
        <w:rPr>
          <w:rFonts w:hint="cs"/>
          <w:rtl/>
        </w:rPr>
        <w:t xml:space="preserve"> השינוי שעבר על החברה הישראלית ועל התרבות השלטונית. בהלכת </w:t>
      </w:r>
      <w:r w:rsidRPr="00030C75">
        <w:rPr>
          <w:rFonts w:ascii="Century" w:hAnsi="Century" w:cs="Miriam" w:hint="cs"/>
          <w:b/>
          <w:spacing w:val="0"/>
          <w:szCs w:val="24"/>
          <w:rtl/>
        </w:rPr>
        <w:t>דרעי</w:t>
      </w:r>
      <w:r>
        <w:rPr>
          <w:rFonts w:hint="cs"/>
          <w:rtl/>
        </w:rPr>
        <w:t xml:space="preserve">, הנשיא </w:t>
      </w:r>
      <w:r w:rsidRPr="00F411A8">
        <w:rPr>
          <w:rFonts w:ascii="Century" w:hAnsi="Century" w:cs="Miriam" w:hint="cs"/>
          <w:b/>
          <w:spacing w:val="0"/>
          <w:szCs w:val="24"/>
          <w:rtl/>
        </w:rPr>
        <w:t>שמגר</w:t>
      </w:r>
      <w:r>
        <w:rPr>
          <w:rFonts w:hint="cs"/>
          <w:rtl/>
        </w:rPr>
        <w:t xml:space="preserve"> נימק את מסקנתו בכך שאי העברה של שר מהתפקיד בשל אירוע חמור כמו הגשת כתב אישום </w:t>
      </w:r>
      <w:r>
        <w:rPr>
          <w:rFonts w:ascii="FrankRuehl" w:hAnsi="FrankRuehl" w:hint="cs"/>
          <w:rtl/>
        </w:rPr>
        <w:t xml:space="preserve">עלולה להשליך על אמון הציבור: </w:t>
      </w:r>
    </w:p>
    <w:p w:rsidR="00503E45" w:rsidRDefault="00503E45" w:rsidP="00503E45">
      <w:pPr>
        <w:pStyle w:val="Ruller40"/>
        <w:rPr>
          <w:rFonts w:ascii="FrankRuehl" w:hAnsi="FrankRuehl"/>
        </w:rPr>
      </w:pPr>
    </w:p>
    <w:p w:rsidR="00503E45" w:rsidRDefault="00503E45" w:rsidP="00503E45">
      <w:pPr>
        <w:pStyle w:val="Ruller5"/>
        <w:ind w:left="2160"/>
        <w:rPr>
          <w:rFonts w:ascii="Century" w:hAnsi="Century"/>
          <w:rtl/>
        </w:rPr>
      </w:pPr>
      <w:r>
        <w:rPr>
          <w:rFonts w:hint="cs"/>
          <w:rtl/>
        </w:rPr>
        <w:t xml:space="preserve">"אירוע חמור בו מעורב חבר הממשלה [...] משליך על מעמדה של הממשלה, על מראית פניה בעיני הציבור, יכולתה להנהיג ולשמש דוגמה, כשירותה להשריש אורחות התנהגות נאותות, ועיקר העיקרים, כאשר הדבר משליך על אמון הציבור בשיטת הממשל והשלטון שלנו, בערכים שעליהם בנויה שיטתנו השלטונית והחוקית ובחובות של האזרח מן השורה הקמות ועולות מכך [...] </w:t>
      </w:r>
      <w:r w:rsidRPr="00030C75">
        <w:rPr>
          <w:rFonts w:ascii="Century" w:hAnsi="Century"/>
          <w:rtl/>
        </w:rPr>
        <w:t xml:space="preserve">אם יכהן בממשלה שר שהוגש נגדו כתב-אישום המאשימו בלקיחת שוחד במאות אלפי שקלים </w:t>
      </w:r>
      <w:r w:rsidRPr="00F411A8">
        <w:rPr>
          <w:rFonts w:ascii="Century" w:hAnsi="Century"/>
          <w:rtl/>
        </w:rPr>
        <w:t>ובשימוש לרעה, באופנים אחרים</w:t>
      </w:r>
      <w:r w:rsidRPr="00413998">
        <w:rPr>
          <w:rFonts w:ascii="Century" w:hAnsi="Century"/>
          <w:rtl/>
        </w:rPr>
        <w:t xml:space="preserve">, </w:t>
      </w:r>
      <w:r w:rsidRPr="00030C75">
        <w:rPr>
          <w:rFonts w:ascii="Century" w:hAnsi="Century"/>
          <w:rtl/>
        </w:rPr>
        <w:t>במשרות שלטוניות, תהיה לכך השלכה מרחיקת לכת על דמות השלטון בישראל, על תום-לבו ועל הגינותו</w:t>
      </w:r>
      <w:r>
        <w:rPr>
          <w:rFonts w:ascii="Century" w:hAnsi="Century" w:hint="cs"/>
          <w:rtl/>
        </w:rPr>
        <w:t>" (</w:t>
      </w:r>
      <w:r w:rsidRPr="00030C75">
        <w:rPr>
          <w:rFonts w:ascii="Century" w:hAnsi="Century" w:cs="Miriam" w:hint="cs"/>
          <w:b/>
          <w:spacing w:val="0"/>
          <w:szCs w:val="24"/>
          <w:rtl/>
        </w:rPr>
        <w:t>שם</w:t>
      </w:r>
      <w:r>
        <w:rPr>
          <w:rFonts w:ascii="Century" w:hAnsi="Century" w:hint="cs"/>
          <w:rtl/>
        </w:rPr>
        <w:t>, עמ' 424-423).</w:t>
      </w:r>
    </w:p>
    <w:p w:rsidR="00503E45" w:rsidRDefault="00503E45" w:rsidP="00503E45">
      <w:pPr>
        <w:pStyle w:val="Ruller5"/>
        <w:ind w:left="2160"/>
        <w:rPr>
          <w:rFonts w:ascii="Century" w:hAnsi="Century"/>
          <w:rtl/>
        </w:rPr>
      </w:pPr>
    </w:p>
    <w:p w:rsidR="00503E45" w:rsidRDefault="00503E45" w:rsidP="00503E45">
      <w:pPr>
        <w:pStyle w:val="Ruller5"/>
        <w:rPr>
          <w:rtl/>
        </w:rPr>
      </w:pPr>
    </w:p>
    <w:p w:rsidR="00503E45" w:rsidRPr="00F411A8" w:rsidRDefault="00503E45" w:rsidP="00503E45">
      <w:pPr>
        <w:pStyle w:val="Ruller40"/>
        <w:rPr>
          <w:rtl/>
        </w:rPr>
      </w:pPr>
      <w:r>
        <w:rPr>
          <w:rtl/>
        </w:rPr>
        <w:tab/>
      </w:r>
      <w:r>
        <w:rPr>
          <w:rFonts w:hint="cs"/>
          <w:rtl/>
        </w:rPr>
        <w:t>אלא ש</w:t>
      </w:r>
      <w:r w:rsidRPr="00F411A8">
        <w:rPr>
          <w:rFonts w:hint="cs"/>
          <w:rtl/>
        </w:rPr>
        <w:t xml:space="preserve">עם שינוי העיתים והזמנים, </w:t>
      </w:r>
      <w:r>
        <w:rPr>
          <w:rFonts w:hint="cs"/>
          <w:rtl/>
        </w:rPr>
        <w:t>היו שהצביעו על כך ש</w:t>
      </w:r>
      <w:r w:rsidRPr="00F411A8">
        <w:rPr>
          <w:rFonts w:hint="cs"/>
          <w:rtl/>
        </w:rPr>
        <w:t xml:space="preserve">"אמירות כיבושין ציבוריות אין בהן די" ו"כנראה אין תועלת בדברי כיבושין ציבוריים" (דברי השופט </w:t>
      </w:r>
      <w:r w:rsidRPr="00F411A8">
        <w:rPr>
          <w:rFonts w:ascii="Century" w:hAnsi="Century" w:cs="Miriam" w:hint="cs"/>
          <w:b/>
          <w:spacing w:val="0"/>
          <w:szCs w:val="24"/>
          <w:rtl/>
        </w:rPr>
        <w:t>רובינשטיין</w:t>
      </w:r>
      <w:r w:rsidRPr="00F411A8">
        <w:rPr>
          <w:rFonts w:hint="cs"/>
          <w:rtl/>
        </w:rPr>
        <w:t xml:space="preserve"> בעניין </w:t>
      </w:r>
      <w:r w:rsidRPr="00F411A8">
        <w:rPr>
          <w:rFonts w:ascii="Century" w:hAnsi="Century" w:cs="Miriam" w:hint="cs"/>
          <w:b/>
          <w:spacing w:val="0"/>
          <w:szCs w:val="24"/>
          <w:rtl/>
        </w:rPr>
        <w:t>ראשי הערים</w:t>
      </w:r>
      <w:r w:rsidRPr="00F411A8">
        <w:rPr>
          <w:rFonts w:hint="cs"/>
          <w:rtl/>
        </w:rPr>
        <w:t xml:space="preserve">, עמ' 222-221). </w:t>
      </w:r>
    </w:p>
    <w:p w:rsidR="00503E45" w:rsidRDefault="00503E45" w:rsidP="00503E45">
      <w:pPr>
        <w:pStyle w:val="Ruller40"/>
        <w:rPr>
          <w:rtl/>
        </w:rPr>
      </w:pPr>
    </w:p>
    <w:p w:rsidR="00503E45" w:rsidRDefault="00503E45" w:rsidP="00503E45">
      <w:pPr>
        <w:pStyle w:val="Ruller40"/>
        <w:rPr>
          <w:rtl/>
        </w:rPr>
      </w:pPr>
      <w:r>
        <w:rPr>
          <w:rFonts w:hint="cs"/>
          <w:rtl/>
        </w:rPr>
        <w:t>14.</w:t>
      </w:r>
      <w:r>
        <w:rPr>
          <w:rFonts w:hint="cs"/>
          <w:rtl/>
        </w:rPr>
        <w:tab/>
        <w:t xml:space="preserve">בבואנו להעביר את הסוגיה שבפנינו במנסרה (פריזמה), קיים קושי להפריד בין  אורכי הגל והצבעים המשתייכים לשדה המשפטי "היבש", לבין אלה המשתייכים לשדה הערכי-ציבורי-מוסרי, שהרי המשפט טבול בערכים, במוסר, בהגינות ובצדק. </w:t>
      </w:r>
    </w:p>
    <w:p w:rsidR="00503E45" w:rsidRDefault="00503E45" w:rsidP="00503E45">
      <w:pPr>
        <w:pStyle w:val="Ruller40"/>
        <w:rPr>
          <w:rtl/>
        </w:rPr>
      </w:pPr>
    </w:p>
    <w:p w:rsidR="00503E45" w:rsidRDefault="00503E45" w:rsidP="00503E45">
      <w:pPr>
        <w:pStyle w:val="Ruller40"/>
        <w:rPr>
          <w:rtl/>
        </w:rPr>
      </w:pPr>
      <w:r>
        <w:rPr>
          <w:rtl/>
        </w:rPr>
        <w:tab/>
      </w:r>
      <w:r>
        <w:rPr>
          <w:rFonts w:hint="cs"/>
          <w:rtl/>
        </w:rPr>
        <w:t>אם נעצור הילוכנו בנקודה זו, נבין אפוא כי לא מקרה פשוט עומד לפנינו אלא מקרה מורכב. לא חוק ברור ומפורש כשמש בצהרי היום, אלא ענני גשם כבדים ולא ענני נוצה, המסתירים את השמש. אלא שבנקודה זו אנו מגיעים ל"פתרון החידה", בדרך עליה עמדה הנשיאה בפסק דינה, ואשר יש בה כדי להסביר מדוע על אף השיקולים דלעיל הגענו לסופה של דרך, פה אחד, למסקנה כי דין העתירות להידחות.</w:t>
      </w:r>
    </w:p>
    <w:p w:rsidR="00503E45" w:rsidRDefault="00503E45" w:rsidP="00503E45">
      <w:pPr>
        <w:pStyle w:val="Ruller40"/>
        <w:rPr>
          <w:rtl/>
        </w:rPr>
      </w:pPr>
    </w:p>
    <w:p w:rsidR="00503E45" w:rsidRPr="00F82BF7" w:rsidRDefault="00503E45" w:rsidP="00503E45">
      <w:pPr>
        <w:pStyle w:val="Ruller40"/>
        <w:rPr>
          <w:rFonts w:ascii="Century" w:hAnsi="Century" w:cs="Miriam"/>
          <w:b/>
          <w:spacing w:val="0"/>
          <w:szCs w:val="24"/>
          <w:rtl/>
        </w:rPr>
      </w:pPr>
      <w:r w:rsidRPr="00F82BF7">
        <w:rPr>
          <w:rFonts w:ascii="Century" w:hAnsi="Century" w:cs="Miriam" w:hint="cs"/>
          <w:b/>
          <w:spacing w:val="0"/>
          <w:szCs w:val="24"/>
          <w:rtl/>
        </w:rPr>
        <w:t xml:space="preserve">מודל שיקול הדעת </w:t>
      </w:r>
      <w:r w:rsidRPr="00F82BF7">
        <w:rPr>
          <w:rFonts w:ascii="Century" w:hAnsi="Century" w:cs="Miriam"/>
          <w:b/>
          <w:spacing w:val="0"/>
          <w:szCs w:val="24"/>
          <w:rtl/>
        </w:rPr>
        <w:t>–</w:t>
      </w:r>
      <w:r w:rsidRPr="00F82BF7">
        <w:rPr>
          <w:rFonts w:ascii="Century" w:hAnsi="Century" w:cs="Miriam" w:hint="cs"/>
          <w:b/>
          <w:spacing w:val="0"/>
          <w:szCs w:val="24"/>
          <w:rtl/>
        </w:rPr>
        <w:t xml:space="preserve"> שיקול הדעת של מי?</w:t>
      </w:r>
    </w:p>
    <w:p w:rsidR="00503E45" w:rsidRPr="00F82BF7" w:rsidRDefault="00503E45" w:rsidP="00503E45">
      <w:pPr>
        <w:pStyle w:val="Ruller40"/>
        <w:rPr>
          <w:rFonts w:ascii="Century" w:hAnsi="Century" w:cs="Miriam"/>
          <w:b/>
          <w:spacing w:val="0"/>
          <w:szCs w:val="24"/>
          <w:rtl/>
        </w:rPr>
      </w:pPr>
      <w:r w:rsidRPr="00F82BF7">
        <w:rPr>
          <w:rFonts w:ascii="Century" w:hAnsi="Century" w:cs="Miriam" w:hint="cs"/>
          <w:b/>
          <w:spacing w:val="0"/>
          <w:szCs w:val="24"/>
          <w:rtl/>
        </w:rPr>
        <w:t xml:space="preserve"> </w:t>
      </w:r>
    </w:p>
    <w:p w:rsidR="00503E45" w:rsidRDefault="00503E45" w:rsidP="00503E45">
      <w:pPr>
        <w:pStyle w:val="Ruller40"/>
        <w:rPr>
          <w:rtl/>
        </w:rPr>
      </w:pPr>
      <w:r>
        <w:rPr>
          <w:rFonts w:hint="cs"/>
          <w:rtl/>
        </w:rPr>
        <w:t>15.</w:t>
      </w:r>
      <w:r>
        <w:rPr>
          <w:rtl/>
        </w:rPr>
        <w:tab/>
      </w:r>
      <w:r>
        <w:rPr>
          <w:rFonts w:hint="cs"/>
          <w:rtl/>
        </w:rPr>
        <w:t>כנגד ארבעה סוגים של שיקול דעת דיברו העתירות, ובנקודה זו אתן לתרשים להלן לדבר בעד עצמו.</w:t>
      </w:r>
    </w:p>
    <w:p w:rsidR="00503E45" w:rsidRDefault="00932AF0" w:rsidP="00503E45">
      <w:pPr>
        <w:pStyle w:val="Ruller40"/>
        <w:rPr>
          <w:rtl/>
        </w:rPr>
      </w:pPr>
      <w:r>
        <w:rPr>
          <w:rFonts w:hint="cs"/>
          <w:noProof/>
          <w:rtl/>
        </w:rPr>
        <mc:AlternateContent>
          <mc:Choice Requires="wpg">
            <w:drawing>
              <wp:anchor distT="0" distB="0" distL="114300" distR="114300" simplePos="0" relativeHeight="251659264" behindDoc="0" locked="0" layoutInCell="1" allowOverlap="1" wp14:anchorId="27181CAC" wp14:editId="6310A8A8">
                <wp:simplePos x="0" y="0"/>
                <wp:positionH relativeFrom="column">
                  <wp:posOffset>-191058</wp:posOffset>
                </wp:positionH>
                <wp:positionV relativeFrom="paragraph">
                  <wp:posOffset>140629</wp:posOffset>
                </wp:positionV>
                <wp:extent cx="5431790" cy="3308350"/>
                <wp:effectExtent l="6985" t="9525" r="9525" b="6350"/>
                <wp:wrapNone/>
                <wp:docPr id="35" name="קבוצה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1790" cy="3308350"/>
                          <a:chOff x="1815" y="1643"/>
                          <a:chExt cx="8554" cy="5210"/>
                        </a:xfrm>
                      </wpg:grpSpPr>
                      <wps:wsp>
                        <wps:cNvPr id="36" name="Rectangle 3"/>
                        <wps:cNvSpPr>
                          <a:spLocks noChangeArrowheads="1"/>
                        </wps:cNvSpPr>
                        <wps:spPr bwMode="auto">
                          <a:xfrm>
                            <a:off x="1815" y="1643"/>
                            <a:ext cx="2462" cy="525"/>
                          </a:xfrm>
                          <a:prstGeom prst="rect">
                            <a:avLst/>
                          </a:prstGeom>
                          <a:solidFill>
                            <a:srgbClr val="FFFFFF"/>
                          </a:solidFill>
                          <a:ln w="9525">
                            <a:solidFill>
                              <a:srgbClr val="FFFFFF"/>
                            </a:solidFill>
                            <a:miter lim="800000"/>
                            <a:headEnd/>
                            <a:tailEnd/>
                          </a:ln>
                        </wps:spPr>
                        <wps:txbx>
                          <w:txbxContent>
                            <w:p w:rsidR="00861951" w:rsidRPr="00B04BA5" w:rsidRDefault="00861951" w:rsidP="00503E45">
                              <w:pPr>
                                <w:jc w:val="center"/>
                                <w:rPr>
                                  <w:rFonts w:cs="Miriam"/>
                                  <w:b/>
                                  <w:sz w:val="22"/>
                                  <w:u w:val="single"/>
                                </w:rPr>
                              </w:pPr>
                              <w:r>
                                <w:rPr>
                                  <w:rFonts w:cs="Miriam" w:hint="cs"/>
                                  <w:b/>
                                  <w:sz w:val="22"/>
                                  <w:u w:val="single"/>
                                  <w:rtl/>
                                </w:rPr>
                                <w:t>הלכת ראשי הערים</w:t>
                              </w:r>
                            </w:p>
                          </w:txbxContent>
                        </wps:txbx>
                        <wps:bodyPr rot="0" vert="horz" wrap="square" lIns="91440" tIns="45720" rIns="91440" bIns="45720" anchor="t" anchorCtr="0" upright="1">
                          <a:noAutofit/>
                        </wps:bodyPr>
                      </wps:wsp>
                      <wpg:grpSp>
                        <wpg:cNvPr id="37" name="Group 4"/>
                        <wpg:cNvGrpSpPr>
                          <a:grpSpLocks/>
                        </wpg:cNvGrpSpPr>
                        <wpg:grpSpPr bwMode="auto">
                          <a:xfrm>
                            <a:off x="1815" y="1643"/>
                            <a:ext cx="8554" cy="5210"/>
                            <a:chOff x="1815" y="1643"/>
                            <a:chExt cx="8554" cy="5210"/>
                          </a:xfrm>
                        </wpg:grpSpPr>
                        <wps:wsp>
                          <wps:cNvPr id="38" name="Rectangle 5"/>
                          <wps:cNvSpPr>
                            <a:spLocks noChangeArrowheads="1"/>
                          </wps:cNvSpPr>
                          <wps:spPr bwMode="auto">
                            <a:xfrm>
                              <a:off x="7907" y="1643"/>
                              <a:ext cx="2462" cy="525"/>
                            </a:xfrm>
                            <a:prstGeom prst="rect">
                              <a:avLst/>
                            </a:prstGeom>
                            <a:solidFill>
                              <a:srgbClr val="FFFFFF"/>
                            </a:solidFill>
                            <a:ln w="9525">
                              <a:solidFill>
                                <a:srgbClr val="FFFFFF"/>
                              </a:solidFill>
                              <a:miter lim="800000"/>
                              <a:headEnd/>
                              <a:tailEnd/>
                            </a:ln>
                          </wps:spPr>
                          <wps:txbx>
                            <w:txbxContent>
                              <w:p w:rsidR="00861951" w:rsidRPr="00B04BA5" w:rsidRDefault="00861951" w:rsidP="00503E45">
                                <w:pPr>
                                  <w:jc w:val="center"/>
                                  <w:rPr>
                                    <w:rFonts w:cs="Miriam"/>
                                    <w:b/>
                                    <w:sz w:val="22"/>
                                    <w:u w:val="single"/>
                                  </w:rPr>
                                </w:pPr>
                                <w:r>
                                  <w:rPr>
                                    <w:rFonts w:cs="Miriam" w:hint="cs"/>
                                    <w:b/>
                                    <w:sz w:val="22"/>
                                    <w:u w:val="single"/>
                                    <w:rtl/>
                                  </w:rPr>
                                  <w:t>הלכת דרעי ופנחסי</w:t>
                                </w:r>
                              </w:p>
                            </w:txbxContent>
                          </wps:txbx>
                          <wps:bodyPr rot="0" vert="horz" wrap="square" lIns="91440" tIns="45720" rIns="91440" bIns="45720" anchor="t" anchorCtr="0" upright="1">
                            <a:noAutofit/>
                          </wps:bodyPr>
                        </wps:wsp>
                        <wpg:grpSp>
                          <wpg:cNvPr id="39" name="Group 6"/>
                          <wpg:cNvGrpSpPr>
                            <a:grpSpLocks/>
                          </wpg:cNvGrpSpPr>
                          <wpg:grpSpPr bwMode="auto">
                            <a:xfrm>
                              <a:off x="1815" y="2548"/>
                              <a:ext cx="8520" cy="4305"/>
                              <a:chOff x="1815" y="2548"/>
                              <a:chExt cx="8520" cy="4305"/>
                            </a:xfrm>
                          </wpg:grpSpPr>
                          <wps:wsp>
                            <wps:cNvPr id="40" name="Rectangle 7"/>
                            <wps:cNvSpPr>
                              <a:spLocks noChangeArrowheads="1"/>
                            </wps:cNvSpPr>
                            <wps:spPr bwMode="auto">
                              <a:xfrm>
                                <a:off x="5157" y="2826"/>
                                <a:ext cx="1576" cy="495"/>
                              </a:xfrm>
                              <a:prstGeom prst="rect">
                                <a:avLst/>
                              </a:prstGeom>
                              <a:solidFill>
                                <a:srgbClr val="FFFFFF"/>
                              </a:solidFill>
                              <a:ln w="9525">
                                <a:solidFill>
                                  <a:srgbClr val="FFFFFF"/>
                                </a:solidFill>
                                <a:miter lim="800000"/>
                                <a:headEnd/>
                                <a:tailEnd/>
                              </a:ln>
                            </wps:spPr>
                            <wps:txbx>
                              <w:txbxContent>
                                <w:p w:rsidR="00861951" w:rsidRDefault="00861951" w:rsidP="00503E45">
                                  <w:pPr>
                                    <w:jc w:val="center"/>
                                  </w:pPr>
                                  <w:r>
                                    <w:rPr>
                                      <w:rFonts w:hint="cs"/>
                                      <w:rtl/>
                                    </w:rPr>
                                    <w:t>בעל הסמכות</w:t>
                                  </w:r>
                                </w:p>
                              </w:txbxContent>
                            </wps:txbx>
                            <wps:bodyPr rot="0" vert="horz" wrap="square" lIns="91440" tIns="45720" rIns="91440" bIns="45720" anchor="t" anchorCtr="0" upright="1">
                              <a:noAutofit/>
                            </wps:bodyPr>
                          </wps:wsp>
                          <wps:wsp>
                            <wps:cNvPr id="41" name="Rectangle 8"/>
                            <wps:cNvSpPr>
                              <a:spLocks noChangeArrowheads="1"/>
                            </wps:cNvSpPr>
                            <wps:spPr bwMode="auto">
                              <a:xfrm>
                                <a:off x="8025" y="2548"/>
                                <a:ext cx="231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ראש  הממשלה</w:t>
                                  </w:r>
                                </w:p>
                              </w:txbxContent>
                            </wps:txbx>
                            <wps:bodyPr rot="0" vert="horz" wrap="square" lIns="91440" tIns="45720" rIns="91440" bIns="45720" anchor="t" anchorCtr="0" upright="1">
                              <a:noAutofit/>
                            </wps:bodyPr>
                          </wps:wsp>
                          <wps:wsp>
                            <wps:cNvPr id="42" name="Rectangle 9"/>
                            <wps:cNvSpPr>
                              <a:spLocks noChangeArrowheads="1"/>
                            </wps:cNvSpPr>
                            <wps:spPr bwMode="auto">
                              <a:xfrm>
                                <a:off x="1815" y="2563"/>
                                <a:ext cx="231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מועצת העירייה</w:t>
                                  </w:r>
                                </w:p>
                              </w:txbxContent>
                            </wps:txbx>
                            <wps:bodyPr rot="0" vert="horz" wrap="square" lIns="91440" tIns="45720" rIns="91440" bIns="45720" anchor="t" anchorCtr="0" upright="1">
                              <a:noAutofit/>
                            </wps:bodyPr>
                          </wps:wsp>
                          <wps:wsp>
                            <wps:cNvPr id="43" name="AutoShape 10"/>
                            <wps:cNvCnPr>
                              <a:cxnSpLocks noChangeShapeType="1"/>
                            </wps:cNvCnPr>
                            <wps:spPr bwMode="auto">
                              <a:xfrm>
                                <a:off x="9225" y="3471"/>
                                <a:ext cx="0" cy="246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Rectangle 11"/>
                            <wps:cNvSpPr>
                              <a:spLocks noChangeArrowheads="1"/>
                            </wps:cNvSpPr>
                            <wps:spPr bwMode="auto">
                              <a:xfrm>
                                <a:off x="8440" y="5954"/>
                                <a:ext cx="156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שר</w:t>
                                  </w:r>
                                </w:p>
                              </w:txbxContent>
                            </wps:txbx>
                            <wps:bodyPr rot="0" vert="horz" wrap="square" lIns="91440" tIns="45720" rIns="91440" bIns="45720" anchor="t" anchorCtr="0" upright="1">
                              <a:noAutofit/>
                            </wps:bodyPr>
                          </wps:wsp>
                          <wps:wsp>
                            <wps:cNvPr id="45" name="Rectangle 12"/>
                            <wps:cNvSpPr>
                              <a:spLocks noChangeArrowheads="1"/>
                            </wps:cNvSpPr>
                            <wps:spPr bwMode="auto">
                              <a:xfrm>
                                <a:off x="2100" y="5983"/>
                                <a:ext cx="156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ראש עיר</w:t>
                                  </w:r>
                                </w:p>
                              </w:txbxContent>
                            </wps:txbx>
                            <wps:bodyPr rot="0" vert="horz" wrap="square" lIns="91440" tIns="45720" rIns="91440" bIns="45720" anchor="t" anchorCtr="0" upright="1">
                              <a:noAutofit/>
                            </wps:bodyPr>
                          </wps:wsp>
                          <wps:wsp>
                            <wps:cNvPr id="46" name="AutoShape 13"/>
                            <wps:cNvCnPr>
                              <a:cxnSpLocks noChangeShapeType="1"/>
                            </wps:cNvCnPr>
                            <wps:spPr bwMode="auto">
                              <a:xfrm flipH="1">
                                <a:off x="2934" y="3433"/>
                                <a:ext cx="21" cy="2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14"/>
                            <wps:cNvCnPr>
                              <a:cxnSpLocks noChangeShapeType="1"/>
                            </wps:cNvCnPr>
                            <wps:spPr bwMode="auto">
                              <a:xfrm flipH="1">
                                <a:off x="4328" y="3051"/>
                                <a:ext cx="83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15"/>
                            <wps:cNvCnPr>
                              <a:cxnSpLocks noChangeShapeType="1"/>
                            </wps:cNvCnPr>
                            <wps:spPr bwMode="auto">
                              <a:xfrm>
                                <a:off x="6793" y="6360"/>
                                <a:ext cx="13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16"/>
                            <wps:cNvCnPr>
                              <a:cxnSpLocks noChangeShapeType="1"/>
                            </wps:cNvCnPr>
                            <wps:spPr bwMode="auto">
                              <a:xfrm flipH="1">
                                <a:off x="3860" y="6388"/>
                                <a:ext cx="1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17"/>
                            <wps:cNvCnPr>
                              <a:cxnSpLocks noChangeShapeType="1"/>
                            </wps:cNvCnPr>
                            <wps:spPr bwMode="auto">
                              <a:xfrm flipH="1">
                                <a:off x="2934" y="4663"/>
                                <a:ext cx="159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18"/>
                            <wps:cNvCnPr>
                              <a:cxnSpLocks noChangeShapeType="1"/>
                            </wps:cNvCnPr>
                            <wps:spPr bwMode="auto">
                              <a:xfrm>
                                <a:off x="7395" y="4648"/>
                                <a:ext cx="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Oval 19"/>
                            <wps:cNvSpPr>
                              <a:spLocks noChangeArrowheads="1"/>
                            </wps:cNvSpPr>
                            <wps:spPr bwMode="auto">
                              <a:xfrm>
                                <a:off x="4515" y="4063"/>
                                <a:ext cx="2895" cy="148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AutoShape 20"/>
                            <wps:cNvCnPr>
                              <a:cxnSpLocks noChangeShapeType="1"/>
                            </wps:cNvCnPr>
                            <wps:spPr bwMode="auto">
                              <a:xfrm>
                                <a:off x="6684" y="3051"/>
                                <a:ext cx="10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Rectangle 21"/>
                            <wps:cNvSpPr>
                              <a:spLocks noChangeArrowheads="1"/>
                            </wps:cNvSpPr>
                            <wps:spPr bwMode="auto">
                              <a:xfrm>
                                <a:off x="4952" y="6164"/>
                                <a:ext cx="2012" cy="525"/>
                              </a:xfrm>
                              <a:prstGeom prst="rect">
                                <a:avLst/>
                              </a:prstGeom>
                              <a:solidFill>
                                <a:srgbClr val="FFFFFF"/>
                              </a:solidFill>
                              <a:ln w="9525">
                                <a:solidFill>
                                  <a:srgbClr val="FFFFFF"/>
                                </a:solidFill>
                                <a:miter lim="800000"/>
                                <a:headEnd/>
                                <a:tailEnd/>
                              </a:ln>
                            </wps:spPr>
                            <wps:txbx>
                              <w:txbxContent>
                                <w:p w:rsidR="00861951" w:rsidRDefault="00861951" w:rsidP="00503E45">
                                  <w:pPr>
                                    <w:jc w:val="center"/>
                                  </w:pPr>
                                  <w:r>
                                    <w:rPr>
                                      <w:rFonts w:hint="cs"/>
                                      <w:rtl/>
                                    </w:rPr>
                                    <w:t>הגורם הממ</w:t>
                                  </w:r>
                                  <w:r>
                                    <w:rPr>
                                      <w:rFonts w:ascii="FrankRuehl" w:hAnsi="FrankRuehl"/>
                                      <w:rtl/>
                                    </w:rPr>
                                    <w:t>וּ</w:t>
                                  </w:r>
                                  <w:r>
                                    <w:rPr>
                                      <w:rFonts w:hint="cs"/>
                                      <w:rtl/>
                                    </w:rPr>
                                    <w:t>נה</w:t>
                                  </w:r>
                                </w:p>
                              </w:txbxContent>
                            </wps:txbx>
                            <wps:bodyPr rot="0" vert="horz" wrap="square" lIns="91440" tIns="45720" rIns="91440" bIns="45720" anchor="t" anchorCtr="0" upright="1">
                              <a:noAutofit/>
                            </wps:bodyPr>
                          </wps:wsp>
                          <wps:wsp>
                            <wps:cNvPr id="55" name="Rectangle 22"/>
                            <wps:cNvSpPr>
                              <a:spLocks noChangeArrowheads="1"/>
                            </wps:cNvSpPr>
                            <wps:spPr bwMode="auto">
                              <a:xfrm>
                                <a:off x="4982" y="4303"/>
                                <a:ext cx="1942" cy="1005"/>
                              </a:xfrm>
                              <a:prstGeom prst="rect">
                                <a:avLst/>
                              </a:prstGeom>
                              <a:solidFill>
                                <a:srgbClr val="FFFFFF"/>
                              </a:solidFill>
                              <a:ln w="9525">
                                <a:solidFill>
                                  <a:srgbClr val="FFFFFF"/>
                                </a:solidFill>
                                <a:miter lim="800000"/>
                                <a:headEnd/>
                                <a:tailEnd/>
                              </a:ln>
                            </wps:spPr>
                            <wps:txbx>
                              <w:txbxContent>
                                <w:p w:rsidR="00861951" w:rsidRDefault="00861951" w:rsidP="00503E45">
                                  <w:pPr>
                                    <w:jc w:val="center"/>
                                    <w:rPr>
                                      <w:sz w:val="22"/>
                                      <w:szCs w:val="22"/>
                                      <w:rtl/>
                                    </w:rPr>
                                  </w:pPr>
                                  <w:r w:rsidRPr="00B04BA5">
                                    <w:rPr>
                                      <w:rFonts w:hint="cs"/>
                                      <w:sz w:val="22"/>
                                      <w:szCs w:val="22"/>
                                      <w:rtl/>
                                    </w:rPr>
                                    <w:t xml:space="preserve">ביקורת שיפוטית: </w:t>
                                  </w:r>
                                </w:p>
                                <w:p w:rsidR="00861951" w:rsidRPr="00B04BA5" w:rsidRDefault="00861951" w:rsidP="00503E45">
                                  <w:pPr>
                                    <w:jc w:val="center"/>
                                    <w:rPr>
                                      <w:sz w:val="22"/>
                                      <w:szCs w:val="22"/>
                                    </w:rPr>
                                  </w:pPr>
                                  <w:r w:rsidRPr="00B04BA5">
                                    <w:rPr>
                                      <w:rFonts w:hint="cs"/>
                                      <w:sz w:val="22"/>
                                      <w:szCs w:val="22"/>
                                      <w:rtl/>
                                    </w:rPr>
                                    <w:t>שלב הפעלת שיקול הדעת המינהלי</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27181CAC" id="קבוצה 35" o:spid="_x0000_s1026" style="position:absolute;left:0;text-align:left;margin-left:-15.05pt;margin-top:11.05pt;width:427.7pt;height:260.5pt;z-index:251659264" coordorigin="1815,1643" coordsize="8554,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">
                <v:rect id="Rectangle 3" o:spid="_x0000_s1027" style="position:absolute;left:1815;top:1643;width:2462;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" strokecolor="white">
                  <v:textbox>
                    <w:txbxContent>
                      <w:p w:rsidR="00861951" w:rsidRPr="00B04BA5" w:rsidRDefault="00861951" w:rsidP="00503E45">
                        <w:pPr>
                          <w:jc w:val="center"/>
                          <w:rPr>
                            <w:rFonts w:cs="Miriam"/>
                            <w:b/>
                            <w:sz w:val="22"/>
                            <w:u w:val="single"/>
                          </w:rPr>
                        </w:pPr>
                        <w:r>
                          <w:rPr>
                            <w:rFonts w:cs="Miriam" w:hint="cs"/>
                            <w:b/>
                            <w:sz w:val="22"/>
                            <w:u w:val="single"/>
                            <w:rtl/>
                          </w:rPr>
                          <w:t>הלכת ראשי הערים</w:t>
                        </w:r>
                      </w:p>
                    </w:txbxContent>
                  </v:textbox>
                </v:rect>
                <v:group id="Group 4" o:spid="_x0000_s1028" style="position:absolute;left:1815;top:1643;width:8554;height:5210" coordorigin="1815,1643" coordsize="8554,5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5" o:spid="_x0000_s1029" style="position:absolute;left:7907;top:1643;width:2462;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" strokecolor="white">
                    <v:textbox>
                      <w:txbxContent>
                        <w:p w:rsidR="00861951" w:rsidRPr="00B04BA5" w:rsidRDefault="00861951" w:rsidP="00503E45">
                          <w:pPr>
                            <w:jc w:val="center"/>
                            <w:rPr>
                              <w:rFonts w:cs="Miriam"/>
                              <w:b/>
                              <w:sz w:val="22"/>
                              <w:u w:val="single"/>
                            </w:rPr>
                          </w:pPr>
                          <w:r>
                            <w:rPr>
                              <w:rFonts w:cs="Miriam" w:hint="cs"/>
                              <w:b/>
                              <w:sz w:val="22"/>
                              <w:u w:val="single"/>
                              <w:rtl/>
                            </w:rPr>
                            <w:t>הלכת דרעי ופנחסי</w:t>
                          </w:r>
                        </w:p>
                      </w:txbxContent>
                    </v:textbox>
                  </v:rect>
                  <v:group id="Group 6" o:spid="_x0000_s1030" style="position:absolute;left:1815;top:2548;width:8520;height:4305" coordorigin="1815,2548" coordsize="8520,4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7" o:spid="_x0000_s1031" style="position:absolute;left:5157;top:2826;width:1576;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" strokecolor="white">
                      <v:textbox>
                        <w:txbxContent>
                          <w:p w:rsidR="00861951" w:rsidRDefault="00861951" w:rsidP="00503E45">
                            <w:pPr>
                              <w:jc w:val="center"/>
                            </w:pPr>
                            <w:r>
                              <w:rPr>
                                <w:rFonts w:hint="cs"/>
                                <w:rtl/>
                              </w:rPr>
                              <w:t>בעל הסמכות</w:t>
                            </w:r>
                          </w:p>
                        </w:txbxContent>
                      </v:textbox>
                    </v:rect>
                    <v:rect id="Rectangle 8" o:spid="_x0000_s1032" style="position:absolute;left:8025;top:2548;width:231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cYxAAAANsAAAAPAAAAZHJzL2Rvd25yZXYueG1sRI9Ba8JA&#10;FITvhf6H5RV6azZakT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OZQxxjEAAAA2wAAAA8A&#10;AAAAAAAAAAAAAAAABwIAAGRycy9kb3ducmV2LnhtbFBLBQYAAAAAAwADALcAAAD4AgAAAAA=&#10;">
                      <v:textbox>
                        <w:txbxContent>
                          <w:p w:rsidR="00861951" w:rsidRDefault="00861951" w:rsidP="00503E45">
                            <w:pPr>
                              <w:jc w:val="center"/>
                            </w:pPr>
                            <w:r>
                              <w:rPr>
                                <w:rFonts w:hint="cs"/>
                                <w:rtl/>
                              </w:rPr>
                              <w:t>ראש  הממשלה</w:t>
                            </w:r>
                          </w:p>
                        </w:txbxContent>
                      </v:textbox>
                    </v:rect>
                    <v:rect id="Rectangle 9" o:spid="_x0000_s1033" style="position:absolute;left:1815;top:2563;width:231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textbox>
                        <w:txbxContent>
                          <w:p w:rsidR="00861951" w:rsidRDefault="00861951" w:rsidP="00503E45">
                            <w:pPr>
                              <w:jc w:val="center"/>
                            </w:pPr>
                            <w:r>
                              <w:rPr>
                                <w:rFonts w:hint="cs"/>
                                <w:rtl/>
                              </w:rPr>
                              <w:t>מועצת העירייה</w:t>
                            </w:r>
                          </w:p>
                        </w:txbxContent>
                      </v:textbox>
                    </v:rect>
                    <v:shapetype id="_x0000_t32" coordsize="21600,21600" o:spt="32" o:oned="t" path="m,l21600,21600e" filled="f">
                      <v:path arrowok="t" fillok="f" o:connecttype="none"/>
                      <o:lock v:ext="edit" shapetype="t"/>
                    </v:shapetype>
                    <v:shape id="AutoShape 10" o:spid="_x0000_s1034" type="#_x0000_t32" style="position:absolute;left:9225;top:3471;width:0;height:2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rect id="Rectangle 11" o:spid="_x0000_s1035" style="position:absolute;left:8440;top:5954;width:156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2SAwgAAANsAAAAPAAAAZHJzL2Rvd25yZXYueG1sRI9Bi8Iw&#10;FITvgv8hPMGbprqy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D2J2SAwgAAANsAAAAPAAAA&#10;AAAAAAAAAAAAAAcCAABkcnMvZG93bnJldi54bWxQSwUGAAAAAAMAAwC3AAAA9gIAAAAA&#10;">
                      <v:textbox>
                        <w:txbxContent>
                          <w:p w:rsidR="00861951" w:rsidRDefault="00861951" w:rsidP="00503E45">
                            <w:pPr>
                              <w:jc w:val="center"/>
                            </w:pPr>
                            <w:r>
                              <w:rPr>
                                <w:rFonts w:hint="cs"/>
                                <w:rtl/>
                              </w:rPr>
                              <w:t>שר</w:t>
                            </w:r>
                          </w:p>
                        </w:txbxContent>
                      </v:textbox>
                    </v:rect>
                    <v:rect id="Rectangle 12" o:spid="_x0000_s1036" style="position:absolute;left:2100;top:5983;width:156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rsidR="00861951" w:rsidRDefault="00861951" w:rsidP="00503E45">
                            <w:pPr>
                              <w:jc w:val="center"/>
                            </w:pPr>
                            <w:r>
                              <w:rPr>
                                <w:rFonts w:hint="cs"/>
                                <w:rtl/>
                              </w:rPr>
                              <w:t>ראש עיר</w:t>
                            </w:r>
                          </w:p>
                        </w:txbxContent>
                      </v:textbox>
                    </v:rect>
                    <v:shape id="AutoShape 13" o:spid="_x0000_s1037" type="#_x0000_t32" style="position:absolute;left:2934;top:3433;width:21;height:25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">
                      <v:stroke endarrow="block"/>
                    </v:shape>
                    <v:shape id="AutoShape 14" o:spid="_x0000_s1038" type="#_x0000_t32" style="position:absolute;left:4328;top:3051;width:8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">
                      <v:stroke endarrow="block"/>
                    </v:shape>
                    <v:shape id="AutoShape 15" o:spid="_x0000_s1039" type="#_x0000_t32" style="position:absolute;left:6793;top:6360;width:13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16" o:spid="_x0000_s1040" type="#_x0000_t32" style="position:absolute;left:3860;top:6388;width:12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shape id="AutoShape 17" o:spid="_x0000_s1041" type="#_x0000_t32" style="position:absolute;left:2934;top:4663;width:15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">
                      <v:stroke endarrow="block"/>
                    </v:shape>
                    <v:shape id="AutoShape 18" o:spid="_x0000_s1042" type="#_x0000_t32" style="position:absolute;left:7395;top:4648;width:1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oval id="Oval 19" o:spid="_x0000_s1043" style="position:absolute;left:4515;top:4063;width:2895;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"/>
                    <v:shape id="AutoShape 20" o:spid="_x0000_s1044" type="#_x0000_t32" style="position:absolute;left:6684;top:3051;width:10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rect id="Rectangle 21" o:spid="_x0000_s1045" style="position:absolute;left:4952;top:6164;width:2012;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" strokecolor="white">
                      <v:textbox>
                        <w:txbxContent>
                          <w:p w:rsidR="00861951" w:rsidRDefault="00861951" w:rsidP="00503E45">
                            <w:pPr>
                              <w:jc w:val="center"/>
                            </w:pPr>
                            <w:r>
                              <w:rPr>
                                <w:rFonts w:hint="cs"/>
                                <w:rtl/>
                              </w:rPr>
                              <w:t>הגורם הממ</w:t>
                            </w:r>
                            <w:r>
                              <w:rPr>
                                <w:rFonts w:ascii="FrankRuehl" w:hAnsi="FrankRuehl"/>
                                <w:rtl/>
                              </w:rPr>
                              <w:t>וּ</w:t>
                            </w:r>
                            <w:r>
                              <w:rPr>
                                <w:rFonts w:hint="cs"/>
                                <w:rtl/>
                              </w:rPr>
                              <w:t>נה</w:t>
                            </w:r>
                          </w:p>
                        </w:txbxContent>
                      </v:textbox>
                    </v:rect>
                    <v:rect id="Rectangle 22" o:spid="_x0000_s1046" style="position:absolute;left:4982;top:4303;width:1942;height:1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" strokecolor="white">
                      <v:textbox>
                        <w:txbxContent>
                          <w:p w:rsidR="00861951" w:rsidRDefault="00861951" w:rsidP="00503E45">
                            <w:pPr>
                              <w:jc w:val="center"/>
                              <w:rPr>
                                <w:sz w:val="22"/>
                                <w:szCs w:val="22"/>
                                <w:rtl/>
                              </w:rPr>
                            </w:pPr>
                            <w:r w:rsidRPr="00B04BA5">
                              <w:rPr>
                                <w:rFonts w:hint="cs"/>
                                <w:sz w:val="22"/>
                                <w:szCs w:val="22"/>
                                <w:rtl/>
                              </w:rPr>
                              <w:t xml:space="preserve">ביקורת שיפוטית: </w:t>
                            </w:r>
                          </w:p>
                          <w:p w:rsidR="00861951" w:rsidRPr="00B04BA5" w:rsidRDefault="00861951" w:rsidP="00503E45">
                            <w:pPr>
                              <w:jc w:val="center"/>
                              <w:rPr>
                                <w:sz w:val="22"/>
                                <w:szCs w:val="22"/>
                              </w:rPr>
                            </w:pPr>
                            <w:r w:rsidRPr="00B04BA5">
                              <w:rPr>
                                <w:rFonts w:hint="cs"/>
                                <w:sz w:val="22"/>
                                <w:szCs w:val="22"/>
                                <w:rtl/>
                              </w:rPr>
                              <w:t>שלב הפעלת שיקול הדעת המינהלי</w:t>
                            </w:r>
                          </w:p>
                        </w:txbxContent>
                      </v:textbox>
                    </v:rect>
                  </v:group>
                </v:group>
              </v:group>
            </w:pict>
          </mc:Fallback>
        </mc:AlternateContent>
      </w:r>
    </w:p>
    <w:p w:rsidR="00503E45" w:rsidRDefault="00503E45" w:rsidP="00932AF0">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overflowPunct/>
        <w:autoSpaceDE/>
        <w:autoSpaceDN/>
        <w:bidi w:val="0"/>
        <w:adjustRightInd/>
        <w:textAlignment w:val="auto"/>
      </w:pPr>
    </w:p>
    <w:p w:rsidR="00503E45" w:rsidRDefault="00503E45" w:rsidP="00503E45">
      <w:pPr>
        <w:pStyle w:val="Ruller40"/>
        <w:rPr>
          <w:rtl/>
        </w:rPr>
      </w:pPr>
      <w:r>
        <w:rPr>
          <w:noProof/>
          <w:rtl/>
        </w:rPr>
        <mc:AlternateContent>
          <mc:Choice Requires="wpg">
            <w:drawing>
              <wp:anchor distT="0" distB="0" distL="114300" distR="114300" simplePos="0" relativeHeight="251660288" behindDoc="0" locked="0" layoutInCell="1" allowOverlap="1" wp14:anchorId="11231B63" wp14:editId="0ADE5D17">
                <wp:simplePos x="0" y="0"/>
                <wp:positionH relativeFrom="column">
                  <wp:posOffset>-593090</wp:posOffset>
                </wp:positionH>
                <wp:positionV relativeFrom="paragraph">
                  <wp:posOffset>184785</wp:posOffset>
                </wp:positionV>
                <wp:extent cx="6463030" cy="5438775"/>
                <wp:effectExtent l="0" t="0" r="13970" b="28575"/>
                <wp:wrapNone/>
                <wp:docPr id="2" name="קבוצה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3030" cy="5438775"/>
                          <a:chOff x="5226" y="8175"/>
                          <a:chExt cx="10178" cy="8565"/>
                        </a:xfrm>
                      </wpg:grpSpPr>
                      <wps:wsp>
                        <wps:cNvPr id="3" name="תיבת טקסט 2"/>
                        <wps:cNvSpPr txBox="1">
                          <a:spLocks noChangeArrowheads="1"/>
                        </wps:cNvSpPr>
                        <wps:spPr bwMode="auto">
                          <a:xfrm flipH="1">
                            <a:off x="8767" y="11430"/>
                            <a:ext cx="42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951" w:rsidRDefault="00861951" w:rsidP="00503E45">
                              <w:pPr>
                                <w:rPr>
                                  <w:rtl/>
                                  <w:cs/>
                                </w:rPr>
                              </w:pPr>
                              <w:r>
                                <w:rPr>
                                  <w:rFonts w:hint="cs"/>
                                  <w:rtl/>
                                </w:rPr>
                                <w:t>?</w:t>
                              </w:r>
                            </w:p>
                          </w:txbxContent>
                        </wps:txbx>
                        <wps:bodyPr rot="0" vert="horz" wrap="square" lIns="91440" tIns="45720" rIns="91440" bIns="45720" anchor="t" anchorCtr="0" upright="1">
                          <a:noAutofit/>
                        </wps:bodyPr>
                      </wps:wsp>
                      <wpg:grpSp>
                        <wpg:cNvPr id="4" name="Group 25"/>
                        <wpg:cNvGrpSpPr>
                          <a:grpSpLocks/>
                        </wpg:cNvGrpSpPr>
                        <wpg:grpSpPr bwMode="auto">
                          <a:xfrm>
                            <a:off x="5226" y="8175"/>
                            <a:ext cx="10178" cy="8565"/>
                            <a:chOff x="997" y="7770"/>
                            <a:chExt cx="10178" cy="8565"/>
                          </a:xfrm>
                        </wpg:grpSpPr>
                        <wps:wsp>
                          <wps:cNvPr id="5" name="AutoShape 26"/>
                          <wps:cNvCnPr>
                            <a:cxnSpLocks noChangeShapeType="1"/>
                          </wps:cNvCnPr>
                          <wps:spPr bwMode="auto">
                            <a:xfrm>
                              <a:off x="1027" y="9270"/>
                              <a:ext cx="39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 name="Group 27"/>
                          <wpg:cNvGrpSpPr>
                            <a:grpSpLocks/>
                          </wpg:cNvGrpSpPr>
                          <wpg:grpSpPr bwMode="auto">
                            <a:xfrm>
                              <a:off x="997" y="7770"/>
                              <a:ext cx="10178" cy="8565"/>
                              <a:chOff x="997" y="7770"/>
                              <a:chExt cx="10178" cy="8565"/>
                            </a:xfrm>
                          </wpg:grpSpPr>
                          <wps:wsp>
                            <wps:cNvPr id="7" name="AutoShape 28"/>
                            <wps:cNvCnPr>
                              <a:cxnSpLocks noChangeShapeType="1"/>
                            </wps:cNvCnPr>
                            <wps:spPr bwMode="auto">
                              <a:xfrm>
                                <a:off x="2367" y="14549"/>
                                <a:ext cx="0" cy="125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29"/>
                            <wps:cNvCnPr>
                              <a:cxnSpLocks noChangeShapeType="1"/>
                            </wps:cNvCnPr>
                            <wps:spPr bwMode="auto">
                              <a:xfrm>
                                <a:off x="997" y="13754"/>
                                <a:ext cx="45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9" name="Group 30"/>
                            <wpg:cNvGrpSpPr>
                              <a:grpSpLocks/>
                            </wpg:cNvGrpSpPr>
                            <wpg:grpSpPr bwMode="auto">
                              <a:xfrm>
                                <a:off x="1005" y="7770"/>
                                <a:ext cx="10170" cy="8565"/>
                                <a:chOff x="1005" y="7770"/>
                                <a:chExt cx="10170" cy="8565"/>
                              </a:xfrm>
                            </wpg:grpSpPr>
                            <wps:wsp>
                              <wps:cNvPr id="10" name="Rectangle 31"/>
                              <wps:cNvSpPr>
                                <a:spLocks noChangeArrowheads="1"/>
                              </wps:cNvSpPr>
                              <wps:spPr bwMode="auto">
                                <a:xfrm>
                                  <a:off x="9300" y="8819"/>
                                  <a:ext cx="156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נשיא המדינה</w:t>
                                    </w:r>
                                  </w:p>
                                </w:txbxContent>
                              </wps:txbx>
                              <wps:bodyPr rot="0" vert="horz" wrap="square" lIns="91440" tIns="45720" rIns="91440" bIns="45720" anchor="t" anchorCtr="0" upright="1">
                                <a:noAutofit/>
                              </wps:bodyPr>
                            </wps:wsp>
                            <wps:wsp>
                              <wps:cNvPr id="11" name="Rectangle 32"/>
                              <wps:cNvSpPr>
                                <a:spLocks noChangeArrowheads="1"/>
                              </wps:cNvSpPr>
                              <wps:spPr bwMode="auto">
                                <a:xfrm>
                                  <a:off x="7104" y="8804"/>
                                  <a:ext cx="156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יו"ר הכנסת</w:t>
                                    </w:r>
                                  </w:p>
                                </w:txbxContent>
                              </wps:txbx>
                              <wps:bodyPr rot="0" vert="horz" wrap="square" lIns="91440" tIns="45720" rIns="91440" bIns="45720" anchor="t" anchorCtr="0" upright="1">
                                <a:noAutofit/>
                              </wps:bodyPr>
                            </wps:wsp>
                            <wps:wsp>
                              <wps:cNvPr id="12" name="Rectangle 33"/>
                              <wps:cNvSpPr>
                                <a:spLocks noChangeArrowheads="1"/>
                              </wps:cNvSpPr>
                              <wps:spPr bwMode="auto">
                                <a:xfrm>
                                  <a:off x="3632" y="8776"/>
                                  <a:ext cx="156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הכנסת</w:t>
                                    </w:r>
                                  </w:p>
                                </w:txbxContent>
                              </wps:txbx>
                              <wps:bodyPr rot="0" vert="horz" wrap="square" lIns="91440" tIns="45720" rIns="91440" bIns="45720" anchor="t" anchorCtr="0" upright="1">
                                <a:noAutofit/>
                              </wps:bodyPr>
                            </wps:wsp>
                            <wps:wsp>
                              <wps:cNvPr id="13" name="Rectangle 34"/>
                              <wps:cNvSpPr>
                                <a:spLocks noChangeArrowheads="1"/>
                              </wps:cNvSpPr>
                              <wps:spPr bwMode="auto">
                                <a:xfrm>
                                  <a:off x="1440" y="8792"/>
                                  <a:ext cx="156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ראש הממשלה</w:t>
                                    </w:r>
                                  </w:p>
                                </w:txbxContent>
                              </wps:txbx>
                              <wps:bodyPr rot="0" vert="horz" wrap="square" lIns="91440" tIns="45720" rIns="91440" bIns="45720" anchor="t" anchorCtr="0" upright="1">
                                <a:noAutofit/>
                              </wps:bodyPr>
                            </wps:wsp>
                            <wps:wsp>
                              <wps:cNvPr id="14" name="Rectangle 35"/>
                              <wps:cNvSpPr>
                                <a:spLocks noChangeArrowheads="1"/>
                              </wps:cNvSpPr>
                              <wps:spPr bwMode="auto">
                                <a:xfrm>
                                  <a:off x="5173" y="15465"/>
                                  <a:ext cx="1560" cy="870"/>
                                </a:xfrm>
                                <a:prstGeom prst="rect">
                                  <a:avLst/>
                                </a:prstGeom>
                                <a:solidFill>
                                  <a:srgbClr val="FFFFFF"/>
                                </a:solidFill>
                                <a:ln w="9525">
                                  <a:solidFill>
                                    <a:srgbClr val="000000"/>
                                  </a:solidFill>
                                  <a:miter lim="800000"/>
                                  <a:headEnd/>
                                  <a:tailEnd/>
                                </a:ln>
                              </wps:spPr>
                              <wps:txbx>
                                <w:txbxContent>
                                  <w:p w:rsidR="00861951" w:rsidRDefault="00861951" w:rsidP="00503E45">
                                    <w:pPr>
                                      <w:jc w:val="center"/>
                                    </w:pPr>
                                    <w:r>
                                      <w:rPr>
                                        <w:rFonts w:hint="cs"/>
                                        <w:rtl/>
                                      </w:rPr>
                                      <w:t>ראש ממשלה</w:t>
                                    </w:r>
                                  </w:p>
                                </w:txbxContent>
                              </wps:txbx>
                              <wps:bodyPr rot="0" vert="horz" wrap="square" lIns="91440" tIns="45720" rIns="91440" bIns="45720" anchor="t" anchorCtr="0" upright="1">
                                <a:noAutofit/>
                              </wps:bodyPr>
                            </wps:wsp>
                            <wps:wsp>
                              <wps:cNvPr id="15" name="AutoShape 36"/>
                              <wps:cNvCnPr>
                                <a:cxnSpLocks noChangeShapeType="1"/>
                              </wps:cNvCnPr>
                              <wps:spPr bwMode="auto">
                                <a:xfrm flipH="1">
                                  <a:off x="7875" y="9674"/>
                                  <a:ext cx="14" cy="3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37"/>
                              <wps:cNvCnPr>
                                <a:cxnSpLocks noChangeShapeType="1"/>
                              </wps:cNvCnPr>
                              <wps:spPr bwMode="auto">
                                <a:xfrm flipH="1">
                                  <a:off x="4389" y="9646"/>
                                  <a:ext cx="14" cy="32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38"/>
                              <wps:cNvSpPr>
                                <a:spLocks noChangeArrowheads="1"/>
                              </wps:cNvSpPr>
                              <wps:spPr bwMode="auto">
                                <a:xfrm>
                                  <a:off x="8580" y="12914"/>
                                  <a:ext cx="1965" cy="2025"/>
                                </a:xfrm>
                                <a:prstGeom prst="rect">
                                  <a:avLst/>
                                </a:prstGeom>
                                <a:solidFill>
                                  <a:srgbClr val="FFFFFF"/>
                                </a:solidFill>
                                <a:ln w="9525">
                                  <a:solidFill>
                                    <a:srgbClr val="000000"/>
                                  </a:solidFill>
                                  <a:miter lim="800000"/>
                                  <a:headEnd/>
                                  <a:tailEnd/>
                                </a:ln>
                              </wps:spPr>
                              <wps:txbx>
                                <w:txbxContent>
                                  <w:p w:rsidR="00861951" w:rsidRPr="0026778C" w:rsidRDefault="00861951" w:rsidP="00503E45">
                                    <w:pPr>
                                      <w:jc w:val="center"/>
                                      <w:rPr>
                                        <w:sz w:val="16"/>
                                      </w:rPr>
                                    </w:pPr>
                                    <w:r w:rsidRPr="0026778C">
                                      <w:rPr>
                                        <w:rFonts w:hint="cs"/>
                                        <w:sz w:val="16"/>
                                        <w:rtl/>
                                      </w:rPr>
                                      <w:t xml:space="preserve">הטלת מלאכת הרכבת הממשלה על </w:t>
                                    </w:r>
                                    <w:r>
                                      <w:rPr>
                                        <w:rFonts w:hint="cs"/>
                                        <w:sz w:val="16"/>
                                        <w:rtl/>
                                      </w:rPr>
                                      <w:t>חבר כנסת (סעיפים 10-7 לחוק יסוד: הממשלה)</w:t>
                                    </w:r>
                                  </w:p>
                                </w:txbxContent>
                              </wps:txbx>
                              <wps:bodyPr rot="0" vert="horz" wrap="square" lIns="91440" tIns="45720" rIns="91440" bIns="45720" anchor="t" anchorCtr="0" upright="1">
                                <a:noAutofit/>
                              </wps:bodyPr>
                            </wps:wsp>
                            <wps:wsp>
                              <wps:cNvPr id="18" name="Rectangle 39"/>
                              <wps:cNvSpPr>
                                <a:spLocks noChangeArrowheads="1"/>
                              </wps:cNvSpPr>
                              <wps:spPr bwMode="auto">
                                <a:xfrm>
                                  <a:off x="6225" y="12929"/>
                                  <a:ext cx="1965" cy="1635"/>
                                </a:xfrm>
                                <a:prstGeom prst="rect">
                                  <a:avLst/>
                                </a:prstGeom>
                                <a:solidFill>
                                  <a:srgbClr val="FFFFFF"/>
                                </a:solidFill>
                                <a:ln w="9525">
                                  <a:solidFill>
                                    <a:srgbClr val="000000"/>
                                  </a:solidFill>
                                  <a:miter lim="800000"/>
                                  <a:headEnd/>
                                  <a:tailEnd/>
                                </a:ln>
                              </wps:spPr>
                              <wps:txbx>
                                <w:txbxContent>
                                  <w:p w:rsidR="00861951" w:rsidRDefault="00861951" w:rsidP="00503E45">
                                    <w:pPr>
                                      <w:jc w:val="center"/>
                                      <w:rPr>
                                        <w:sz w:val="16"/>
                                        <w:rtl/>
                                      </w:rPr>
                                    </w:pPr>
                                    <w:r>
                                      <w:rPr>
                                        <w:rFonts w:hint="cs"/>
                                        <w:sz w:val="16"/>
                                        <w:rtl/>
                                      </w:rPr>
                                      <w:t>כינוס הכנסת לצורך כינון הממשלה</w:t>
                                    </w:r>
                                  </w:p>
                                  <w:p w:rsidR="00861951" w:rsidRPr="0026778C" w:rsidRDefault="00861951" w:rsidP="00503E45">
                                    <w:pPr>
                                      <w:jc w:val="center"/>
                                      <w:rPr>
                                        <w:sz w:val="16"/>
                                      </w:rPr>
                                    </w:pPr>
                                    <w:r>
                                      <w:rPr>
                                        <w:rFonts w:hint="cs"/>
                                        <w:sz w:val="16"/>
                                        <w:rtl/>
                                      </w:rPr>
                                      <w:t>(סעיף 13(ב) לחוק יסוד: הממשלה)</w:t>
                                    </w:r>
                                  </w:p>
                                </w:txbxContent>
                              </wps:txbx>
                              <wps:bodyPr rot="0" vert="horz" wrap="square" lIns="91440" tIns="45720" rIns="91440" bIns="45720" anchor="t" anchorCtr="0" upright="1">
                                <a:noAutofit/>
                              </wps:bodyPr>
                            </wps:wsp>
                            <wps:wsp>
                              <wps:cNvPr id="19" name="Rectangle 40"/>
                              <wps:cNvSpPr>
                                <a:spLocks noChangeArrowheads="1"/>
                              </wps:cNvSpPr>
                              <wps:spPr bwMode="auto">
                                <a:xfrm>
                                  <a:off x="3825" y="12944"/>
                                  <a:ext cx="1965" cy="1635"/>
                                </a:xfrm>
                                <a:prstGeom prst="rect">
                                  <a:avLst/>
                                </a:prstGeom>
                                <a:solidFill>
                                  <a:srgbClr val="FFFFFF"/>
                                </a:solidFill>
                                <a:ln w="9525">
                                  <a:solidFill>
                                    <a:srgbClr val="000000"/>
                                  </a:solidFill>
                                  <a:miter lim="800000"/>
                                  <a:headEnd/>
                                  <a:tailEnd/>
                                </a:ln>
                              </wps:spPr>
                              <wps:txbx>
                                <w:txbxContent>
                                  <w:p w:rsidR="00861951" w:rsidRDefault="00861951" w:rsidP="00503E45">
                                    <w:pPr>
                                      <w:jc w:val="center"/>
                                      <w:rPr>
                                        <w:sz w:val="16"/>
                                        <w:rtl/>
                                      </w:rPr>
                                    </w:pPr>
                                    <w:r>
                                      <w:rPr>
                                        <w:rFonts w:hint="cs"/>
                                        <w:sz w:val="16"/>
                                        <w:rtl/>
                                      </w:rPr>
                                      <w:t>הבעת אמון של הכנסת בממשלה</w:t>
                                    </w:r>
                                  </w:p>
                                  <w:p w:rsidR="00861951" w:rsidRPr="0026778C" w:rsidRDefault="00861951" w:rsidP="00503E45">
                                    <w:pPr>
                                      <w:jc w:val="center"/>
                                      <w:rPr>
                                        <w:sz w:val="16"/>
                                      </w:rPr>
                                    </w:pPr>
                                    <w:r>
                                      <w:rPr>
                                        <w:rFonts w:hint="cs"/>
                                        <w:sz w:val="16"/>
                                        <w:rtl/>
                                      </w:rPr>
                                      <w:t>(סעיף 13(ד) לחוק יסוד: הממשלה)</w:t>
                                    </w:r>
                                  </w:p>
                                </w:txbxContent>
                              </wps:txbx>
                              <wps:bodyPr rot="0" vert="horz" wrap="square" lIns="91440" tIns="45720" rIns="91440" bIns="45720" anchor="t" anchorCtr="0" upright="1">
                                <a:noAutofit/>
                              </wps:bodyPr>
                            </wps:wsp>
                            <wps:wsp>
                              <wps:cNvPr id="20" name="Rectangle 41"/>
                              <wps:cNvSpPr>
                                <a:spLocks noChangeArrowheads="1"/>
                              </wps:cNvSpPr>
                              <wps:spPr bwMode="auto">
                                <a:xfrm>
                                  <a:off x="1440" y="12914"/>
                                  <a:ext cx="1965" cy="1635"/>
                                </a:xfrm>
                                <a:prstGeom prst="rect">
                                  <a:avLst/>
                                </a:prstGeom>
                                <a:solidFill>
                                  <a:srgbClr val="FFFFFF"/>
                                </a:solidFill>
                                <a:ln w="9525">
                                  <a:solidFill>
                                    <a:srgbClr val="000000"/>
                                  </a:solidFill>
                                  <a:miter lim="800000"/>
                                  <a:headEnd/>
                                  <a:tailEnd/>
                                </a:ln>
                              </wps:spPr>
                              <wps:txbx>
                                <w:txbxContent>
                                  <w:p w:rsidR="00861951" w:rsidRDefault="00861951" w:rsidP="00503E45">
                                    <w:pPr>
                                      <w:jc w:val="center"/>
                                      <w:rPr>
                                        <w:sz w:val="16"/>
                                        <w:rtl/>
                                      </w:rPr>
                                    </w:pPr>
                                    <w:r>
                                      <w:rPr>
                                        <w:rFonts w:hint="cs"/>
                                        <w:sz w:val="16"/>
                                        <w:rtl/>
                                      </w:rPr>
                                      <w:t xml:space="preserve">התפטרות </w:t>
                                    </w:r>
                                  </w:p>
                                  <w:p w:rsidR="00861951" w:rsidRDefault="00861951" w:rsidP="00503E45">
                                    <w:pPr>
                                      <w:jc w:val="center"/>
                                      <w:rPr>
                                        <w:sz w:val="16"/>
                                        <w:rtl/>
                                      </w:rPr>
                                    </w:pPr>
                                    <w:r>
                                      <w:rPr>
                                        <w:rFonts w:hint="cs"/>
                                        <w:sz w:val="16"/>
                                        <w:rtl/>
                                      </w:rPr>
                                      <w:t xml:space="preserve">ראש ממשלה </w:t>
                                    </w:r>
                                  </w:p>
                                  <w:p w:rsidR="00861951" w:rsidRPr="0026778C" w:rsidRDefault="00861951" w:rsidP="00503E45">
                                    <w:pPr>
                                      <w:jc w:val="center"/>
                                      <w:rPr>
                                        <w:sz w:val="16"/>
                                      </w:rPr>
                                    </w:pPr>
                                    <w:r>
                                      <w:rPr>
                                        <w:rFonts w:hint="cs"/>
                                        <w:sz w:val="16"/>
                                        <w:rtl/>
                                      </w:rPr>
                                      <w:t>(סעיף 19 לחוק יסוד: הממשלה)</w:t>
                                    </w:r>
                                  </w:p>
                                </w:txbxContent>
                              </wps:txbx>
                              <wps:bodyPr rot="0" vert="horz" wrap="square" lIns="91440" tIns="45720" rIns="91440" bIns="45720" anchor="t" anchorCtr="0" upright="1">
                                <a:noAutofit/>
                              </wps:bodyPr>
                            </wps:wsp>
                            <wps:wsp>
                              <wps:cNvPr id="21" name="Oval 42"/>
                              <wps:cNvSpPr>
                                <a:spLocks noChangeArrowheads="1"/>
                              </wps:cNvSpPr>
                              <wps:spPr bwMode="auto">
                                <a:xfrm>
                                  <a:off x="4937" y="10666"/>
                                  <a:ext cx="2428" cy="1500"/>
                                </a:xfrm>
                                <a:prstGeom prst="ellipse">
                                  <a:avLst/>
                                </a:prstGeom>
                                <a:solidFill>
                                  <a:srgbClr val="FFFFFF"/>
                                </a:solidFill>
                                <a:ln w="9525">
                                  <a:solidFill>
                                    <a:srgbClr val="000000"/>
                                  </a:solidFill>
                                  <a:round/>
                                  <a:headEnd/>
                                  <a:tailEnd/>
                                </a:ln>
                              </wps:spPr>
                              <wps:txbx>
                                <w:txbxContent>
                                  <w:p w:rsidR="00861951" w:rsidRPr="000A2092" w:rsidRDefault="00861951" w:rsidP="00503E45">
                                    <w:pPr>
                                      <w:jc w:val="center"/>
                                      <w:rPr>
                                        <w:sz w:val="14"/>
                                        <w:szCs w:val="22"/>
                                      </w:rPr>
                                    </w:pPr>
                                    <w:r w:rsidRPr="000A2092">
                                      <w:rPr>
                                        <w:rFonts w:hint="cs"/>
                                        <w:sz w:val="14"/>
                                        <w:szCs w:val="22"/>
                                        <w:rtl/>
                                      </w:rPr>
                                      <w:t xml:space="preserve">ביקורת שיפוטית: שלב הפעלת שיקול דעת </w:t>
                                    </w:r>
                                    <w:r>
                                      <w:rPr>
                                        <w:rFonts w:hint="cs"/>
                                        <w:sz w:val="14"/>
                                        <w:szCs w:val="22"/>
                                        <w:rtl/>
                                      </w:rPr>
                                      <w:t>פוליטי</w:t>
                                    </w:r>
                                  </w:p>
                                </w:txbxContent>
                              </wps:txbx>
                              <wps:bodyPr rot="0" vert="horz" wrap="square" lIns="91440" tIns="45720" rIns="91440" bIns="45720" anchor="t" anchorCtr="0" upright="1">
                                <a:noAutofit/>
                              </wps:bodyPr>
                            </wps:wsp>
                            <wps:wsp>
                              <wps:cNvPr id="22" name="AutoShape 43"/>
                              <wps:cNvCnPr>
                                <a:cxnSpLocks noChangeShapeType="1"/>
                              </wps:cNvCnPr>
                              <wps:spPr bwMode="auto">
                                <a:xfrm flipH="1">
                                  <a:off x="4403" y="11400"/>
                                  <a:ext cx="5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44"/>
                              <wps:cNvCnPr>
                                <a:cxnSpLocks noChangeShapeType="1"/>
                              </wps:cNvCnPr>
                              <wps:spPr bwMode="auto">
                                <a:xfrm>
                                  <a:off x="9650" y="14952"/>
                                  <a:ext cx="0" cy="8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45"/>
                              <wps:cNvCnPr>
                                <a:cxnSpLocks noChangeShapeType="1"/>
                              </wps:cNvCnPr>
                              <wps:spPr bwMode="auto">
                                <a:xfrm flipH="1">
                                  <a:off x="6722" y="15834"/>
                                  <a:ext cx="29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6"/>
                              <wps:cNvCnPr>
                                <a:cxnSpLocks noChangeShapeType="1"/>
                              </wps:cNvCnPr>
                              <wps:spPr bwMode="auto">
                                <a:xfrm>
                                  <a:off x="2367" y="15807"/>
                                  <a:ext cx="27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6" name="Group 47"/>
                              <wpg:cNvGrpSpPr>
                                <a:grpSpLocks/>
                              </wpg:cNvGrpSpPr>
                              <wpg:grpSpPr bwMode="auto">
                                <a:xfrm>
                                  <a:off x="10564" y="9239"/>
                                  <a:ext cx="611" cy="4621"/>
                                  <a:chOff x="10564" y="8679"/>
                                  <a:chExt cx="611" cy="4621"/>
                                </a:xfrm>
                              </wpg:grpSpPr>
                              <wpg:grpSp>
                                <wpg:cNvPr id="27" name="Group 48"/>
                                <wpg:cNvGrpSpPr>
                                  <a:grpSpLocks/>
                                </wpg:cNvGrpSpPr>
                                <wpg:grpSpPr bwMode="auto">
                                  <a:xfrm>
                                    <a:off x="10879" y="8679"/>
                                    <a:ext cx="296" cy="4620"/>
                                    <a:chOff x="10912" y="9052"/>
                                    <a:chExt cx="263" cy="4620"/>
                                  </a:xfrm>
                                </wpg:grpSpPr>
                                <wps:wsp>
                                  <wps:cNvPr id="28" name="AutoShape 49"/>
                                  <wps:cNvCnPr>
                                    <a:cxnSpLocks noChangeShapeType="1"/>
                                  </wps:cNvCnPr>
                                  <wps:spPr bwMode="auto">
                                    <a:xfrm>
                                      <a:off x="11175" y="9052"/>
                                      <a:ext cx="0" cy="4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0"/>
                                  <wps:cNvCnPr>
                                    <a:cxnSpLocks noChangeShapeType="1"/>
                                  </wps:cNvCnPr>
                                  <wps:spPr bwMode="auto">
                                    <a:xfrm flipH="1">
                                      <a:off x="10912" y="9052"/>
                                      <a:ext cx="26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0" name="AutoShape 51"/>
                                <wps:cNvCnPr>
                                  <a:cxnSpLocks noChangeShapeType="1"/>
                                </wps:cNvCnPr>
                                <wps:spPr bwMode="auto">
                                  <a:xfrm flipH="1">
                                    <a:off x="10564" y="13299"/>
                                    <a:ext cx="611"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1" name="AutoShape 52"/>
                              <wps:cNvCnPr>
                                <a:cxnSpLocks noChangeShapeType="1"/>
                              </wps:cNvCnPr>
                              <wps:spPr bwMode="auto">
                                <a:xfrm>
                                  <a:off x="5398" y="14579"/>
                                  <a:ext cx="0" cy="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3"/>
                              <wps:cNvCnPr>
                                <a:cxnSpLocks noChangeShapeType="1"/>
                              </wps:cNvCnPr>
                              <wps:spPr bwMode="auto">
                                <a:xfrm>
                                  <a:off x="6566" y="14579"/>
                                  <a:ext cx="0" cy="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4"/>
                              <wps:cNvCnPr>
                                <a:cxnSpLocks noChangeShapeType="1"/>
                              </wps:cNvCnPr>
                              <wps:spPr bwMode="auto">
                                <a:xfrm flipV="1">
                                  <a:off x="1005" y="9270"/>
                                  <a:ext cx="15" cy="44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תיבת טקסט 2"/>
                              <wps:cNvSpPr txBox="1">
                                <a:spLocks noChangeArrowheads="1"/>
                              </wps:cNvSpPr>
                              <wps:spPr bwMode="auto">
                                <a:xfrm flipH="1">
                                  <a:off x="4658" y="7770"/>
                                  <a:ext cx="2571" cy="404"/>
                                </a:xfrm>
                                <a:prstGeom prst="rect">
                                  <a:avLst/>
                                </a:prstGeom>
                                <a:solidFill>
                                  <a:srgbClr val="FFFFFF"/>
                                </a:solidFill>
                                <a:ln w="9525">
                                  <a:solidFill>
                                    <a:srgbClr val="FFFFFF"/>
                                  </a:solidFill>
                                  <a:miter lim="800000"/>
                                  <a:headEnd/>
                                  <a:tailEnd/>
                                </a:ln>
                              </wps:spPr>
                              <wps:txbx>
                                <w:txbxContent>
                                  <w:p w:rsidR="00861951" w:rsidRPr="00A34C88" w:rsidRDefault="00861951" w:rsidP="00503E45">
                                    <w:pPr>
                                      <w:rPr>
                                        <w:rFonts w:cs="Miriam"/>
                                        <w:b/>
                                        <w:sz w:val="22"/>
                                        <w:u w:val="single"/>
                                        <w:rtl/>
                                        <w:cs/>
                                      </w:rPr>
                                    </w:pPr>
                                    <w:r w:rsidRPr="00A34C88">
                                      <w:rPr>
                                        <w:rFonts w:cs="Miriam" w:hint="cs"/>
                                        <w:b/>
                                        <w:sz w:val="22"/>
                                        <w:u w:val="single"/>
                                        <w:rtl/>
                                      </w:rPr>
                                      <w:t>הרכבת ממשלה וכינונה</w:t>
                                    </w:r>
                                  </w:p>
                                </w:txbxContent>
                              </wps:txbx>
                              <wps:bodyPr rot="0" vert="horz" wrap="square" lIns="91440" tIns="45720" rIns="91440" bIns="45720" anchor="t" anchorCtr="0" upright="1">
                                <a:sp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11231B63" id="קבוצה 2" o:spid="_x0000_s1047" style="position:absolute;left:0;text-align:left;margin-left:-46.7pt;margin-top:14.55pt;width:508.9pt;height:428.25pt;z-index:251660288" coordorigin="5226,8175" coordsize="10178,8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">
                <v:shapetype id="_x0000_t202" coordsize="21600,21600" o:spt="202" path="m,l,21600r21600,l21600,xe">
                  <v:stroke joinstyle="miter"/>
                  <v:path gradientshapeok="t" o:connecttype="rect"/>
                </v:shapetype>
                <v:shape id="תיבת טקסט 2" o:spid="_x0000_s1048" type="#_x0000_t202" style="position:absolute;left:8767;top:11430;width:425;height:42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" stroked="f">
                  <v:textbox>
                    <w:txbxContent>
                      <w:p w:rsidR="00861951" w:rsidRDefault="00861951" w:rsidP="00503E45">
                        <w:pPr>
                          <w:rPr>
                            <w:rtl/>
                            <w:cs/>
                          </w:rPr>
                        </w:pPr>
                        <w:r>
                          <w:rPr>
                            <w:rFonts w:hint="cs"/>
                            <w:rtl/>
                          </w:rPr>
                          <w:t>?</w:t>
                        </w:r>
                      </w:p>
                    </w:txbxContent>
                  </v:textbox>
                </v:shape>
                <v:group id="Group 25" o:spid="_x0000_s1049" style="position:absolute;left:5226;top:8175;width:10178;height:8565" coordorigin="997,7770" coordsize="10178,8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 o:spid="_x0000_s1050" type="#_x0000_t32" style="position:absolute;left:1027;top:9270;width: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id="Group 27" o:spid="_x0000_s1051" style="position:absolute;left:997;top:7770;width:10178;height:8565" coordorigin="997,7770" coordsize="10178,8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8" o:spid="_x0000_s1052" type="#_x0000_t32" style="position:absolute;left:2367;top:14549;width:0;height:12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29" o:spid="_x0000_s1053" type="#_x0000_t32" style="position:absolute;left:997;top:13754;width:45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group id="Group 30" o:spid="_x0000_s1054" style="position:absolute;left:1005;top:7770;width:10170;height:8565" coordorigin="1005,7770" coordsize="10170,8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31" o:spid="_x0000_s1055" style="position:absolute;left:9300;top:8819;width:156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861951" w:rsidRDefault="00861951" w:rsidP="00503E45">
                              <w:pPr>
                                <w:jc w:val="center"/>
                              </w:pPr>
                              <w:r>
                                <w:rPr>
                                  <w:rFonts w:hint="cs"/>
                                  <w:rtl/>
                                </w:rPr>
                                <w:t>נשיא המדינה</w:t>
                              </w:r>
                            </w:p>
                          </w:txbxContent>
                        </v:textbox>
                      </v:rect>
                      <v:rect id="Rectangle 32" o:spid="_x0000_s1056" style="position:absolute;left:7104;top:8804;width:156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861951" w:rsidRDefault="00861951" w:rsidP="00503E45">
                              <w:pPr>
                                <w:jc w:val="center"/>
                              </w:pPr>
                              <w:r>
                                <w:rPr>
                                  <w:rFonts w:hint="cs"/>
                                  <w:rtl/>
                                </w:rPr>
                                <w:t>יו"ר הכנסת</w:t>
                              </w:r>
                            </w:p>
                          </w:txbxContent>
                        </v:textbox>
                      </v:rect>
                      <v:rect id="Rectangle 33" o:spid="_x0000_s1057" style="position:absolute;left:3632;top:8776;width:156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rsidR="00861951" w:rsidRDefault="00861951" w:rsidP="00503E45">
                              <w:pPr>
                                <w:jc w:val="center"/>
                              </w:pPr>
                              <w:r>
                                <w:rPr>
                                  <w:rFonts w:hint="cs"/>
                                  <w:rtl/>
                                </w:rPr>
                                <w:t>הכנסת</w:t>
                              </w:r>
                            </w:p>
                          </w:txbxContent>
                        </v:textbox>
                      </v:rect>
                      <v:rect id="Rectangle 34" o:spid="_x0000_s1058" style="position:absolute;left:1440;top:8792;width:156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861951" w:rsidRDefault="00861951" w:rsidP="00503E45">
                              <w:pPr>
                                <w:jc w:val="center"/>
                              </w:pPr>
                              <w:r>
                                <w:rPr>
                                  <w:rFonts w:hint="cs"/>
                                  <w:rtl/>
                                </w:rPr>
                                <w:t>ראש הממשלה</w:t>
                              </w:r>
                            </w:p>
                          </w:txbxContent>
                        </v:textbox>
                      </v:rect>
                      <v:rect id="Rectangle 35" o:spid="_x0000_s1059" style="position:absolute;left:5173;top:15465;width:156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rsidR="00861951" w:rsidRDefault="00861951" w:rsidP="00503E45">
                              <w:pPr>
                                <w:jc w:val="center"/>
                              </w:pPr>
                              <w:r>
                                <w:rPr>
                                  <w:rFonts w:hint="cs"/>
                                  <w:rtl/>
                                </w:rPr>
                                <w:t>ראש ממשלה</w:t>
                              </w:r>
                            </w:p>
                          </w:txbxContent>
                        </v:textbox>
                      </v:rect>
                      <v:shape id="AutoShape 36" o:spid="_x0000_s1060" type="#_x0000_t32" style="position:absolute;left:7875;top:9674;width:14;height:3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">
                        <v:stroke endarrow="block"/>
                      </v:shape>
                      <v:shape id="AutoShape 37" o:spid="_x0000_s1061" type="#_x0000_t32" style="position:absolute;left:4389;top:9646;width:14;height:32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v:shape>
                      <v:rect id="Rectangle 38" o:spid="_x0000_s1062" style="position:absolute;left:8580;top:12914;width:1965;height:2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rsidR="00861951" w:rsidRPr="0026778C" w:rsidRDefault="00861951" w:rsidP="00503E45">
                              <w:pPr>
                                <w:jc w:val="center"/>
                                <w:rPr>
                                  <w:sz w:val="16"/>
                                </w:rPr>
                              </w:pPr>
                              <w:r w:rsidRPr="0026778C">
                                <w:rPr>
                                  <w:rFonts w:hint="cs"/>
                                  <w:sz w:val="16"/>
                                  <w:rtl/>
                                </w:rPr>
                                <w:t xml:space="preserve">הטלת מלאכת הרכבת הממשלה על </w:t>
                              </w:r>
                              <w:r>
                                <w:rPr>
                                  <w:rFonts w:hint="cs"/>
                                  <w:sz w:val="16"/>
                                  <w:rtl/>
                                </w:rPr>
                                <w:t>חבר כנסת (סעיפים 10-7 לחוק יסוד: הממשלה)</w:t>
                              </w:r>
                            </w:p>
                          </w:txbxContent>
                        </v:textbox>
                      </v:rect>
                      <v:rect id="Rectangle 39" o:spid="_x0000_s1063" style="position:absolute;left:6225;top:12929;width:1965;height:1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rsidR="00861951" w:rsidRDefault="00861951" w:rsidP="00503E45">
                              <w:pPr>
                                <w:jc w:val="center"/>
                                <w:rPr>
                                  <w:sz w:val="16"/>
                                  <w:rtl/>
                                </w:rPr>
                              </w:pPr>
                              <w:r>
                                <w:rPr>
                                  <w:rFonts w:hint="cs"/>
                                  <w:sz w:val="16"/>
                                  <w:rtl/>
                                </w:rPr>
                                <w:t>כינוס הכנסת לצורך כינון הממשלה</w:t>
                              </w:r>
                            </w:p>
                            <w:p w:rsidR="00861951" w:rsidRPr="0026778C" w:rsidRDefault="00861951" w:rsidP="00503E45">
                              <w:pPr>
                                <w:jc w:val="center"/>
                                <w:rPr>
                                  <w:sz w:val="16"/>
                                </w:rPr>
                              </w:pPr>
                              <w:r>
                                <w:rPr>
                                  <w:rFonts w:hint="cs"/>
                                  <w:sz w:val="16"/>
                                  <w:rtl/>
                                </w:rPr>
                                <w:t>(סעיף 13(ב) לחוק יסוד: הממשלה)</w:t>
                              </w:r>
                            </w:p>
                          </w:txbxContent>
                        </v:textbox>
                      </v:rect>
                      <v:rect id="Rectangle 40" o:spid="_x0000_s1064" style="position:absolute;left:3825;top:12944;width:1965;height:1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861951" w:rsidRDefault="00861951" w:rsidP="00503E45">
                              <w:pPr>
                                <w:jc w:val="center"/>
                                <w:rPr>
                                  <w:sz w:val="16"/>
                                  <w:rtl/>
                                </w:rPr>
                              </w:pPr>
                              <w:r>
                                <w:rPr>
                                  <w:rFonts w:hint="cs"/>
                                  <w:sz w:val="16"/>
                                  <w:rtl/>
                                </w:rPr>
                                <w:t>הבעת אמון של הכנסת בממשלה</w:t>
                              </w:r>
                            </w:p>
                            <w:p w:rsidR="00861951" w:rsidRPr="0026778C" w:rsidRDefault="00861951" w:rsidP="00503E45">
                              <w:pPr>
                                <w:jc w:val="center"/>
                                <w:rPr>
                                  <w:sz w:val="16"/>
                                </w:rPr>
                              </w:pPr>
                              <w:r>
                                <w:rPr>
                                  <w:rFonts w:hint="cs"/>
                                  <w:sz w:val="16"/>
                                  <w:rtl/>
                                </w:rPr>
                                <w:t>(סעיף 13(ד) לחוק יסוד: הממשלה)</w:t>
                              </w:r>
                            </w:p>
                          </w:txbxContent>
                        </v:textbox>
                      </v:rect>
                      <v:rect id="Rectangle 41" o:spid="_x0000_s1065" style="position:absolute;left:1440;top:12914;width:1965;height:1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861951" w:rsidRDefault="00861951" w:rsidP="00503E45">
                              <w:pPr>
                                <w:jc w:val="center"/>
                                <w:rPr>
                                  <w:sz w:val="16"/>
                                  <w:rtl/>
                                </w:rPr>
                              </w:pPr>
                              <w:r>
                                <w:rPr>
                                  <w:rFonts w:hint="cs"/>
                                  <w:sz w:val="16"/>
                                  <w:rtl/>
                                </w:rPr>
                                <w:t xml:space="preserve">התפטרות </w:t>
                              </w:r>
                            </w:p>
                            <w:p w:rsidR="00861951" w:rsidRDefault="00861951" w:rsidP="00503E45">
                              <w:pPr>
                                <w:jc w:val="center"/>
                                <w:rPr>
                                  <w:sz w:val="16"/>
                                  <w:rtl/>
                                </w:rPr>
                              </w:pPr>
                              <w:r>
                                <w:rPr>
                                  <w:rFonts w:hint="cs"/>
                                  <w:sz w:val="16"/>
                                  <w:rtl/>
                                </w:rPr>
                                <w:t xml:space="preserve">ראש ממשלה </w:t>
                              </w:r>
                            </w:p>
                            <w:p w:rsidR="00861951" w:rsidRPr="0026778C" w:rsidRDefault="00861951" w:rsidP="00503E45">
                              <w:pPr>
                                <w:jc w:val="center"/>
                                <w:rPr>
                                  <w:sz w:val="16"/>
                                </w:rPr>
                              </w:pPr>
                              <w:r>
                                <w:rPr>
                                  <w:rFonts w:hint="cs"/>
                                  <w:sz w:val="16"/>
                                  <w:rtl/>
                                </w:rPr>
                                <w:t>(סעיף 19 לחוק יסוד: הממשלה)</w:t>
                              </w:r>
                            </w:p>
                          </w:txbxContent>
                        </v:textbox>
                      </v:rect>
                      <v:oval id="Oval 42" o:spid="_x0000_s1066" style="position:absolute;left:4937;top:10666;width:2428;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">
                        <v:textbox>
                          <w:txbxContent>
                            <w:p w:rsidR="00861951" w:rsidRPr="000A2092" w:rsidRDefault="00861951" w:rsidP="00503E45">
                              <w:pPr>
                                <w:jc w:val="center"/>
                                <w:rPr>
                                  <w:sz w:val="14"/>
                                  <w:szCs w:val="22"/>
                                </w:rPr>
                              </w:pPr>
                              <w:r w:rsidRPr="000A2092">
                                <w:rPr>
                                  <w:rFonts w:hint="cs"/>
                                  <w:sz w:val="14"/>
                                  <w:szCs w:val="22"/>
                                  <w:rtl/>
                                </w:rPr>
                                <w:t xml:space="preserve">ביקורת שיפוטית: שלב הפעלת שיקול דעת </w:t>
                              </w:r>
                              <w:r>
                                <w:rPr>
                                  <w:rFonts w:hint="cs"/>
                                  <w:sz w:val="14"/>
                                  <w:szCs w:val="22"/>
                                  <w:rtl/>
                                </w:rPr>
                                <w:t>פוליטי</w:t>
                              </w:r>
                            </w:p>
                          </w:txbxContent>
                        </v:textbox>
                      </v:oval>
                      <v:shape id="AutoShape 43" o:spid="_x0000_s1067" type="#_x0000_t32" style="position:absolute;left:4403;top:11400;width:5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">
                        <v:stroke endarrow="block"/>
                      </v:shape>
                      <v:shape id="AutoShape 44" o:spid="_x0000_s1068" type="#_x0000_t32" style="position:absolute;left:9650;top:14952;width:0;height:8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v:shape id="AutoShape 45" o:spid="_x0000_s1069" type="#_x0000_t32" style="position:absolute;left:6722;top:15834;width:29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shape id="AutoShape 46" o:spid="_x0000_s1070" type="#_x0000_t32" style="position:absolute;left:2367;top:15807;width:2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group id="Group 47" o:spid="_x0000_s1071" style="position:absolute;left:10564;top:9239;width:611;height:4621" coordorigin="10564,8679" coordsize="611,4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48" o:spid="_x0000_s1072" style="position:absolute;left:10879;top:8679;width:296;height:4620" coordorigin="10912,9052" coordsize="263,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AutoShape 49" o:spid="_x0000_s1073" type="#_x0000_t32" style="position:absolute;left:11175;top:9052;width:0;height:4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AutoShape 50" o:spid="_x0000_s1074" type="#_x0000_t32" style="position:absolute;left:10912;top:9052;width:2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group>
                        <v:shape id="AutoShape 51" o:spid="_x0000_s1075" type="#_x0000_t32" style="position:absolute;left:10564;top:13299;width:611;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">
                          <v:stroke endarrow="block"/>
                        </v:shape>
                      </v:group>
                      <v:shape id="AutoShape 52" o:spid="_x0000_s1076" type="#_x0000_t32" style="position:absolute;left:5398;top:14579;width:0;height:8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3" o:spid="_x0000_s1077" type="#_x0000_t32" style="position:absolute;left:6566;top:14579;width:0;height:8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4" o:spid="_x0000_s1078" type="#_x0000_t32" style="position:absolute;left:1005;top:9270;width:15;height:44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vhBwwAAANsAAAAPAAAAZHJzL2Rvd25yZXYueG1sRI9Bi8Iw&#10;FITvC/6H8AQvi6ZVEK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QGr4QcMAAADbAAAADwAA&#10;AAAAAAAAAAAAAAAHAgAAZHJzL2Rvd25yZXYueG1sUEsFBgAAAAADAAMAtwAAAPcCAAAAAA==&#10;"/>
                      <v:shape id="תיבת טקסט 2" o:spid="_x0000_s1079" type="#_x0000_t202" style="position:absolute;left:4658;top:7770;width:2571;height:404;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" strokecolor="white">
                        <v:textbox style="mso-fit-shape-to-text:t">
                          <w:txbxContent>
                            <w:p w:rsidR="00861951" w:rsidRPr="00A34C88" w:rsidRDefault="00861951" w:rsidP="00503E45">
                              <w:pPr>
                                <w:rPr>
                                  <w:rFonts w:cs="Miriam"/>
                                  <w:b/>
                                  <w:sz w:val="22"/>
                                  <w:u w:val="single"/>
                                  <w:rtl/>
                                  <w:cs/>
                                </w:rPr>
                              </w:pPr>
                              <w:r w:rsidRPr="00A34C88">
                                <w:rPr>
                                  <w:rFonts w:cs="Miriam" w:hint="cs"/>
                                  <w:b/>
                                  <w:sz w:val="22"/>
                                  <w:u w:val="single"/>
                                  <w:rtl/>
                                </w:rPr>
                                <w:t>הרכבת ממשלה וכינונה</w:t>
                              </w:r>
                            </w:p>
                          </w:txbxContent>
                        </v:textbox>
                      </v:shape>
                    </v:group>
                  </v:group>
                </v:group>
              </v:group>
            </w:pict>
          </mc:Fallback>
        </mc:AlternateContent>
      </w: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tl/>
        </w:rPr>
      </w:pPr>
    </w:p>
    <w:p w:rsidR="00503E45" w:rsidRDefault="00503E45" w:rsidP="00503E45">
      <w:pPr>
        <w:pStyle w:val="Ruller40"/>
        <w:rPr>
          <w:rFonts w:ascii="Century" w:hAnsi="Century"/>
          <w:rtl/>
        </w:rPr>
      </w:pPr>
      <w:r>
        <w:rPr>
          <w:rtl/>
        </w:rPr>
        <w:tab/>
      </w:r>
    </w:p>
    <w:p w:rsidR="00503E45" w:rsidRDefault="00503E45" w:rsidP="00503E45">
      <w:pPr>
        <w:pStyle w:val="Ruller40"/>
        <w:rPr>
          <w:rFonts w:ascii="Century" w:hAnsi="Century"/>
          <w:rtl/>
        </w:rPr>
      </w:pPr>
    </w:p>
    <w:p w:rsidR="00503E45" w:rsidRDefault="00503E45" w:rsidP="00503E45">
      <w:pPr>
        <w:pStyle w:val="Ruller40"/>
        <w:rPr>
          <w:rFonts w:ascii="Century" w:hAnsi="Century"/>
          <w:rtl/>
        </w:rPr>
      </w:pPr>
    </w:p>
    <w:p w:rsidR="00503E45" w:rsidRDefault="00503E45" w:rsidP="00503E45">
      <w:pPr>
        <w:pStyle w:val="Ruller40"/>
        <w:rPr>
          <w:rFonts w:ascii="Century" w:hAnsi="Century"/>
          <w:rtl/>
        </w:rPr>
      </w:pPr>
    </w:p>
    <w:p w:rsidR="00932AF0" w:rsidRDefault="00932AF0" w:rsidP="00503E45">
      <w:pPr>
        <w:pStyle w:val="Ruller40"/>
        <w:rPr>
          <w:rFonts w:ascii="Century" w:hAnsi="Century"/>
          <w:rtl/>
        </w:rPr>
      </w:pPr>
    </w:p>
    <w:p w:rsidR="00503E45" w:rsidRDefault="00503E45" w:rsidP="00503E45">
      <w:pPr>
        <w:pStyle w:val="Ruller40"/>
        <w:rPr>
          <w:rtl/>
        </w:rPr>
      </w:pPr>
      <w:r>
        <w:rPr>
          <w:rFonts w:ascii="Century" w:hAnsi="Century"/>
          <w:rtl/>
        </w:rPr>
        <w:tab/>
      </w:r>
      <w:r>
        <w:rPr>
          <w:rFonts w:ascii="Century" w:hAnsi="Century" w:hint="cs"/>
          <w:rtl/>
        </w:rPr>
        <w:t xml:space="preserve">התרשים מדגים את "סוגיית היישום", על פי הביטוי בו השתמשו העותרים בבג"ץ 2594/20. </w:t>
      </w:r>
      <w:r>
        <w:rPr>
          <w:rFonts w:hint="cs"/>
          <w:rtl/>
        </w:rPr>
        <w:t xml:space="preserve">חברתי הנשיאה היטיבה להסביר מדוע אף אחד מארבעת סוגי שיקול הדעת לא יצלח לצור על פי צלוחית (פסקאות 18-11 לפסק דינה). אתמקד בבחירתם של חברי הכנסת, ובביקורת השיפוטית לגביה. </w:t>
      </w:r>
    </w:p>
    <w:p w:rsidR="00503E45" w:rsidRDefault="00503E45" w:rsidP="00503E45">
      <w:pPr>
        <w:pStyle w:val="Ruller40"/>
        <w:rPr>
          <w:rtl/>
        </w:rPr>
      </w:pPr>
    </w:p>
    <w:p w:rsidR="00503E45" w:rsidRDefault="00503E45" w:rsidP="00503E45">
      <w:pPr>
        <w:pStyle w:val="Ruller40"/>
        <w:rPr>
          <w:rtl/>
        </w:rPr>
      </w:pPr>
      <w:r>
        <w:rPr>
          <w:rFonts w:hint="cs"/>
          <w:rtl/>
        </w:rPr>
        <w:t>16.</w:t>
      </w:r>
      <w:r>
        <w:rPr>
          <w:rFonts w:hint="cs"/>
          <w:rtl/>
        </w:rPr>
        <w:tab/>
        <w:t xml:space="preserve">על פי כללי השיטה הפוליטית הנוהגת במדינה מאז הקמתה, ציבור הבוחרים מייפה את כוחם של חברי הכנסת ברשימות השונות לייצג אותו. מדובר בייפוי כוח בלתי חוזר, הגם שתוקפו מוגבל בזמן עד לבחירות הבאות. </w:t>
      </w:r>
      <w:r w:rsidRPr="00942010">
        <w:rPr>
          <w:rFonts w:hint="cs"/>
          <w:rtl/>
        </w:rPr>
        <w:t>משנבחרו חברי הכנסת על פי רשימות המפלגות, קיימת חזקה חלוטה כי עמדותיהם ופעולותיהם מבטאות את רצון הבוחר. "הממשלה תיכון משהביעה בה הכנסת אמון", כלשון סעיף 13(ד) לחוק יסוד: הממשלה. השעה שבה למעלה מ-60 חברי כנסת מרימים את ידם בתמיכה ובמתן אמון בממשלה שהורכבה זה-עתה, היא המועד הקובע שבו חברי הכנסת מבטאים את רצון רוב הבוחרים על-פי יפוי הכוח הבלתי חוזר שהופקד בידיהם.</w:t>
      </w:r>
      <w:r>
        <w:rPr>
          <w:rFonts w:hint="cs"/>
          <w:rtl/>
        </w:rPr>
        <w:t xml:space="preserve"> התערבות בית המשפט בנקודת זמן זו ובהליך דמוקרטי זה, כמוה כהתנגשות חזיתית עם רצון הבוחר כפי שבא לידי ביטוי בהצבעת נציגיו בכנסת. התערבות מעין זו מנוגדת לריסון שבית המשפט נוקט בהתערבות בהחלטות הכנסת, "ריסון הנובע ממעמדה המיוחד של הכנסת במשולש הרשויות" (עניין </w:t>
      </w:r>
      <w:r w:rsidRPr="005749D2">
        <w:rPr>
          <w:rFonts w:ascii="Century" w:hAnsi="Century" w:cs="Miriam" w:hint="cs"/>
          <w:b/>
          <w:spacing w:val="0"/>
          <w:szCs w:val="24"/>
          <w:rtl/>
        </w:rPr>
        <w:t>ראשי הערים</w:t>
      </w:r>
      <w:r>
        <w:rPr>
          <w:rFonts w:hint="cs"/>
          <w:rtl/>
        </w:rPr>
        <w:t xml:space="preserve">, דברי המשנה לנשיא (כתוארה אז) </w:t>
      </w:r>
      <w:r w:rsidRPr="0075473F">
        <w:rPr>
          <w:rFonts w:ascii="Century" w:hAnsi="Century" w:cs="Miriam" w:hint="cs"/>
          <w:b/>
          <w:spacing w:val="0"/>
          <w:szCs w:val="24"/>
          <w:rtl/>
        </w:rPr>
        <w:t>מ'</w:t>
      </w:r>
      <w:r>
        <w:rPr>
          <w:rFonts w:hint="cs"/>
          <w:rtl/>
        </w:rPr>
        <w:t xml:space="preserve"> </w:t>
      </w:r>
      <w:r w:rsidRPr="0075473F">
        <w:rPr>
          <w:rFonts w:ascii="Century" w:hAnsi="Century" w:cs="Miriam" w:hint="cs"/>
          <w:b/>
          <w:spacing w:val="0"/>
          <w:szCs w:val="24"/>
          <w:rtl/>
        </w:rPr>
        <w:t>נאור</w:t>
      </w:r>
      <w:r>
        <w:rPr>
          <w:rFonts w:hint="cs"/>
          <w:rtl/>
        </w:rPr>
        <w:t xml:space="preserve"> בפסקה 41). התערבות מעין זו משמעה, הלכה למעשה, הדחה על ידי בית המשפט של מי שזכה להיבחר כראש ממשלה על פי </w:t>
      </w:r>
      <w:r w:rsidRPr="008A6D67">
        <w:rPr>
          <w:rFonts w:hint="cs"/>
          <w:rtl/>
        </w:rPr>
        <w:t>רוב קולות חברי הכנסת, חלום בלהות חוקתי שעלול לקלוע את בית המשפט לעין הסערה הפוליטית</w:t>
      </w:r>
      <w:r>
        <w:rPr>
          <w:rFonts w:hint="cs"/>
          <w:rtl/>
        </w:rPr>
        <w:t xml:space="preserve"> (רבקה וייל "האם הדחה שיפוטית של ראש ממשלה בישראל היא חוקתית?" </w:t>
      </w:r>
      <w:r w:rsidRPr="00F411A8">
        <w:rPr>
          <w:rFonts w:ascii="Century" w:hAnsi="Century" w:cs="Miriam" w:hint="cs"/>
          <w:b/>
          <w:spacing w:val="0"/>
          <w:szCs w:val="24"/>
          <w:rtl/>
        </w:rPr>
        <w:t>משפט וממשל</w:t>
      </w:r>
      <w:r w:rsidRPr="00412CAE">
        <w:rPr>
          <w:rFonts w:hint="cs"/>
          <w:rtl/>
        </w:rPr>
        <w:t xml:space="preserve"> </w:t>
      </w:r>
      <w:r>
        <w:rPr>
          <w:rFonts w:hint="cs"/>
          <w:rtl/>
        </w:rPr>
        <w:t>כא (2020) (עתיד להתפרסם)).</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יודגש כי החלטת חברי הכנסת על פי סעיף 13(ד) לחוק יסוד: הממשלה אינה החלטה מינהלית או החלטה מעין שיפוטית או החלטה פרלמנטרית רגילה או החלטה הפוגעת בזכויות אדם או בזכויות מיעוט. המדובר </w:t>
      </w:r>
      <w:r w:rsidRPr="00942010">
        <w:rPr>
          <w:rFonts w:hint="cs"/>
          <w:rtl/>
        </w:rPr>
        <w:t>בהחלטה בכובעה המקורי והראשוני</w:t>
      </w:r>
      <w:r>
        <w:rPr>
          <w:rFonts w:hint="cs"/>
          <w:rtl/>
        </w:rPr>
        <w:t xml:space="preserve"> של הכנסת, החלטה אשר מכוננת את הרשות המבצעת ואת העומד בראשה. החלטה פוליטית מובהקת הנובעת מתמהיל של שיקולים שחברי הכנסת העמידו מול עיניהם. החלטה שנמצאת בגרעין הליבה הלוהטת של הכור הפוליטי, ואשר בכוחה להכריע את הכף כנגד שלושת הטעמים והנימוקים כבדי המשקל עליהם עמדנו לעיל. כאן, בנקודה זו, לסוף מסע המסתיים ליד הכבשן הלוהט של אותה החלטה </w:t>
      </w:r>
      <w:r w:rsidRPr="00942010">
        <w:rPr>
          <w:rFonts w:hint="cs"/>
          <w:rtl/>
        </w:rPr>
        <w:t>מכוננת-פוליטית</w:t>
      </w:r>
      <w:r>
        <w:rPr>
          <w:rFonts w:hint="cs"/>
          <w:rtl/>
        </w:rPr>
        <w:t xml:space="preserve"> של רוב חברי הכנסת, מונחת הכרעתנו בשאלה הראשונה.</w:t>
      </w:r>
    </w:p>
    <w:p w:rsidR="00503E45" w:rsidRDefault="00503E45" w:rsidP="00503E45">
      <w:pPr>
        <w:pStyle w:val="Ruller40"/>
        <w:rPr>
          <w:rtl/>
        </w:rPr>
      </w:pPr>
    </w:p>
    <w:p w:rsidR="00503E45" w:rsidRPr="00CC733E" w:rsidRDefault="00503E45" w:rsidP="00503E45">
      <w:pPr>
        <w:pStyle w:val="Ruller40"/>
        <w:rPr>
          <w:rFonts w:ascii="Century" w:hAnsi="Century" w:cs="Miriam"/>
          <w:b/>
          <w:spacing w:val="0"/>
          <w:szCs w:val="24"/>
          <w:rtl/>
        </w:rPr>
      </w:pPr>
      <w:r w:rsidRPr="00CC733E">
        <w:rPr>
          <w:rFonts w:ascii="Century" w:hAnsi="Century" w:cs="Miriam" w:hint="cs"/>
          <w:b/>
          <w:spacing w:val="0"/>
          <w:szCs w:val="24"/>
          <w:rtl/>
        </w:rPr>
        <w:t xml:space="preserve">ההסכם הקואליציוני </w:t>
      </w:r>
    </w:p>
    <w:p w:rsidR="00503E45" w:rsidRDefault="00503E45" w:rsidP="00503E45">
      <w:pPr>
        <w:pStyle w:val="Ruller40"/>
        <w:rPr>
          <w:rtl/>
        </w:rPr>
      </w:pPr>
    </w:p>
    <w:p w:rsidR="00503E45" w:rsidRDefault="00503E45" w:rsidP="00503E45">
      <w:pPr>
        <w:pStyle w:val="Ruller40"/>
        <w:rPr>
          <w:rtl/>
        </w:rPr>
      </w:pPr>
      <w:r>
        <w:rPr>
          <w:rFonts w:hint="cs"/>
          <w:rtl/>
        </w:rPr>
        <w:t>17.</w:t>
      </w:r>
      <w:r>
        <w:rPr>
          <w:rFonts w:hint="cs"/>
          <w:rtl/>
        </w:rPr>
        <w:tab/>
        <w:t xml:space="preserve">שאלת מהותו, כוחו וגבורתו של ההסכם הפוליטי, שנויה במחלוקת בפסיקה ובקרב מלומדי המשפט. קיימת משרעת של דעות בנושא, שאותן ניתן לקבץ לארבע קבוצות עיקריות כלהלן: </w:t>
      </w:r>
    </w:p>
    <w:p w:rsidR="00503E45" w:rsidRDefault="00503E45" w:rsidP="00503E45">
      <w:pPr>
        <w:pStyle w:val="Ruller40"/>
        <w:rPr>
          <w:rtl/>
        </w:rPr>
      </w:pPr>
    </w:p>
    <w:p w:rsidR="00503E45" w:rsidRDefault="00503E45" w:rsidP="00503E45">
      <w:pPr>
        <w:pStyle w:val="Ruller40"/>
        <w:rPr>
          <w:rtl/>
        </w:rPr>
      </w:pPr>
      <w:r>
        <w:rPr>
          <w:rFonts w:hint="cs"/>
          <w:rtl/>
        </w:rPr>
        <w:tab/>
      </w:r>
      <w:r w:rsidRPr="00295DDF">
        <w:rPr>
          <w:rFonts w:ascii="Century" w:hAnsi="Century" w:hint="cs"/>
          <w:rtl/>
        </w:rPr>
        <w:t xml:space="preserve">בקצה האחד של המשרעת, אנו מוצאים את </w:t>
      </w:r>
      <w:r>
        <w:rPr>
          <w:rFonts w:ascii="Century" w:hAnsi="Century" w:hint="cs"/>
          <w:rtl/>
        </w:rPr>
        <w:t xml:space="preserve">הגישה לפיה </w:t>
      </w:r>
      <w:r w:rsidRPr="00295DDF">
        <w:rPr>
          <w:rFonts w:ascii="Century" w:hAnsi="Century" w:hint="cs"/>
          <w:rtl/>
        </w:rPr>
        <w:t xml:space="preserve">אין לראות הסכמים פוליטיים כהסכמים מחייבים, לא במישור המשפט הפרטי, ואף לא במישור המשפט הציבורי. במישור המשפט הציבורי </w:t>
      </w:r>
      <w:r>
        <w:rPr>
          <w:rFonts w:ascii="Century" w:hAnsi="Century"/>
          <w:rtl/>
        </w:rPr>
        <w:t>–</w:t>
      </w:r>
      <w:r>
        <w:rPr>
          <w:rFonts w:ascii="Century" w:hAnsi="Century" w:hint="cs"/>
          <w:rtl/>
        </w:rPr>
        <w:t xml:space="preserve"> </w:t>
      </w:r>
      <w:r w:rsidRPr="00295DDF">
        <w:rPr>
          <w:rFonts w:ascii="Century" w:hAnsi="Century" w:hint="cs"/>
          <w:rtl/>
        </w:rPr>
        <w:t xml:space="preserve">משום שאין לערב את בתי המשפט בסכסוכים הנובעים מקיומם או אי קיומם של הסכמים אלו. במשפט הפרטי </w:t>
      </w:r>
      <w:r w:rsidRPr="00295DDF">
        <w:rPr>
          <w:rFonts w:ascii="Century" w:hAnsi="Century"/>
          <w:rtl/>
        </w:rPr>
        <w:t>–</w:t>
      </w:r>
      <w:r w:rsidRPr="00295DDF">
        <w:rPr>
          <w:rFonts w:ascii="Century" w:hAnsi="Century" w:hint="cs"/>
          <w:rtl/>
        </w:rPr>
        <w:t xml:space="preserve"> היות </w:t>
      </w:r>
      <w:r>
        <w:rPr>
          <w:rFonts w:ascii="Century" w:hAnsi="Century" w:hint="cs"/>
          <w:rtl/>
        </w:rPr>
        <w:t>ש</w:t>
      </w:r>
      <w:r w:rsidRPr="00295DDF">
        <w:rPr>
          <w:rFonts w:ascii="Century" w:hAnsi="Century" w:hint="cs"/>
          <w:rtl/>
        </w:rPr>
        <w:t>מדובר בתחום שאין בו שליטה לדיני החוזים ואינו יכול להיות נשוא לחוזה. לדיני החוזים אין מקום אלא כאשר מדובר בפעולה שהיא בעיקרה כלכלית, ו</w:t>
      </w:r>
      <w:r>
        <w:rPr>
          <w:rFonts w:ascii="Century" w:hAnsi="Century" w:hint="cs"/>
          <w:rtl/>
        </w:rPr>
        <w:t>מכאן ש</w:t>
      </w:r>
      <w:r w:rsidRPr="00295DDF">
        <w:rPr>
          <w:rFonts w:ascii="Century" w:hAnsi="Century" w:hint="cs"/>
          <w:rtl/>
        </w:rPr>
        <w:t>הסכם שהוראה על סנקציה כספית בשל הפרתו נחשבת כפסולה, אינו ראוי לה</w:t>
      </w:r>
      <w:r>
        <w:rPr>
          <w:rFonts w:ascii="Century" w:hAnsi="Century" w:hint="cs"/>
          <w:rtl/>
        </w:rPr>
        <w:t>י</w:t>
      </w:r>
      <w:r w:rsidRPr="00295DDF">
        <w:rPr>
          <w:rFonts w:ascii="Century" w:hAnsi="Century" w:hint="cs"/>
          <w:rtl/>
        </w:rPr>
        <w:t>חשב כחוזה</w:t>
      </w:r>
      <w:r>
        <w:rPr>
          <w:rFonts w:ascii="Century" w:hAnsi="Century" w:hint="cs"/>
          <w:rtl/>
        </w:rPr>
        <w:t xml:space="preserve"> (דניאל פרידמן ונילי כהן </w:t>
      </w:r>
      <w:r w:rsidRPr="00295DDF">
        <w:rPr>
          <w:rFonts w:ascii="Century" w:hAnsi="Century" w:cs="Miriam" w:hint="cs"/>
          <w:b/>
          <w:spacing w:val="0"/>
          <w:szCs w:val="24"/>
          <w:rtl/>
        </w:rPr>
        <w:t>דיני חוזים</w:t>
      </w:r>
      <w:r w:rsidRPr="00295DDF">
        <w:rPr>
          <w:rFonts w:ascii="Century" w:hAnsi="Century" w:hint="cs"/>
          <w:rtl/>
        </w:rPr>
        <w:t xml:space="preserve"> כרך א </w:t>
      </w:r>
      <w:r>
        <w:rPr>
          <w:rFonts w:ascii="Century" w:hAnsi="Century" w:hint="cs"/>
          <w:rtl/>
        </w:rPr>
        <w:t xml:space="preserve">429-419 (מהדורה שניה, 2019)). </w:t>
      </w:r>
      <w:r>
        <w:rPr>
          <w:rFonts w:hint="cs"/>
          <w:rtl/>
        </w:rPr>
        <w:t xml:space="preserve">לגישה דומה למהותו של ההסכם ראו גם </w:t>
      </w:r>
      <w:r w:rsidRPr="00F411A8">
        <w:rPr>
          <w:rFonts w:ascii="Times New Roman" w:hAnsi="Times New Roman" w:cs="Times New Roman"/>
          <w:sz w:val="23"/>
          <w:szCs w:val="23"/>
        </w:rPr>
        <w:t>D. Kretzmer</w:t>
      </w:r>
      <w:r>
        <w:rPr>
          <w:rFonts w:hint="cs"/>
          <w:rtl/>
        </w:rPr>
        <w:t xml:space="preserve"> במאמרו</w:t>
      </w:r>
      <w:r w:rsidRPr="00F411A8">
        <w:rPr>
          <w:rFonts w:ascii="Times New Roman" w:hAnsi="Times New Roman" w:cs="Times New Roman"/>
          <w:i/>
          <w:iCs/>
          <w:sz w:val="23"/>
          <w:szCs w:val="23"/>
        </w:rPr>
        <w:t xml:space="preserve">Political Agreements – A </w:t>
      </w:r>
      <w:r>
        <w:rPr>
          <w:rFonts w:ascii="Times New Roman" w:hAnsi="Times New Roman" w:cs="Times New Roman"/>
          <w:i/>
          <w:iCs/>
          <w:sz w:val="23"/>
          <w:szCs w:val="23"/>
        </w:rPr>
        <w:t>C</w:t>
      </w:r>
      <w:r w:rsidRPr="00F411A8">
        <w:rPr>
          <w:rFonts w:ascii="Times New Roman" w:hAnsi="Times New Roman" w:cs="Times New Roman"/>
          <w:i/>
          <w:iCs/>
          <w:sz w:val="23"/>
          <w:szCs w:val="23"/>
        </w:rPr>
        <w:t>ritical Introduction</w:t>
      </w:r>
      <w:r>
        <w:t xml:space="preserve"> </w:t>
      </w:r>
      <w:r w:rsidRPr="00F411A8">
        <w:rPr>
          <w:rFonts w:ascii="Times New Roman" w:hAnsi="Times New Roman" w:cs="Times New Roman"/>
          <w:sz w:val="23"/>
          <w:szCs w:val="23"/>
        </w:rPr>
        <w:t>26 I</w:t>
      </w:r>
      <w:r w:rsidRPr="00F411A8">
        <w:rPr>
          <w:rFonts w:ascii="Times New Roman" w:hAnsi="Times New Roman" w:cs="Times New Roman"/>
          <w:smallCaps/>
          <w:sz w:val="23"/>
          <w:szCs w:val="23"/>
        </w:rPr>
        <w:t>sr</w:t>
      </w:r>
      <w:r w:rsidRPr="00F411A8">
        <w:rPr>
          <w:rFonts w:ascii="Times New Roman" w:hAnsi="Times New Roman" w:cs="Times New Roman"/>
          <w:sz w:val="23"/>
          <w:szCs w:val="23"/>
        </w:rPr>
        <w:t>. L. R</w:t>
      </w:r>
      <w:r w:rsidRPr="00F411A8">
        <w:rPr>
          <w:rFonts w:ascii="Times New Roman" w:hAnsi="Times New Roman" w:cs="Times New Roman"/>
          <w:smallCaps/>
          <w:sz w:val="23"/>
          <w:szCs w:val="23"/>
        </w:rPr>
        <w:t>ev</w:t>
      </w:r>
      <w:r w:rsidRPr="00F411A8">
        <w:rPr>
          <w:rFonts w:ascii="Times New Roman" w:hAnsi="Times New Roman" w:cs="Times New Roman"/>
          <w:sz w:val="23"/>
          <w:szCs w:val="23"/>
        </w:rPr>
        <w:t>.</w:t>
      </w:r>
      <w:r>
        <w:rPr>
          <w:rFonts w:ascii="Times New Roman" w:hAnsi="Times New Roman" w:cs="Times New Roman"/>
          <w:sz w:val="23"/>
          <w:szCs w:val="23"/>
        </w:rPr>
        <w:t xml:space="preserve"> 407</w:t>
      </w:r>
      <w:r w:rsidRPr="00F411A8">
        <w:rPr>
          <w:rFonts w:ascii="Times New Roman" w:hAnsi="Times New Roman" w:cs="Times New Roman"/>
          <w:sz w:val="23"/>
          <w:szCs w:val="23"/>
        </w:rPr>
        <w:t xml:space="preserve"> (1992)</w:t>
      </w:r>
      <w:r w:rsidRPr="00FA6AAA">
        <w:rPr>
          <w:rFonts w:ascii="Times New Roman" w:hAnsi="Times New Roman" w:cs="Times New Roman" w:hint="cs"/>
          <w:sz w:val="23"/>
          <w:szCs w:val="23"/>
          <w:rtl/>
        </w:rPr>
        <w:t xml:space="preserve">, </w:t>
      </w:r>
      <w:r>
        <w:rPr>
          <w:rFonts w:hint="cs"/>
          <w:rtl/>
        </w:rPr>
        <w:t xml:space="preserve">וכן עמדתו של השופט חשין </w:t>
      </w:r>
      <w:r w:rsidRPr="00295DDF">
        <w:rPr>
          <w:rFonts w:ascii="Century" w:hAnsi="Century" w:hint="cs"/>
          <w:rtl/>
        </w:rPr>
        <w:t>ב</w:t>
      </w:r>
      <w:r w:rsidRPr="00295DDF">
        <w:rPr>
          <w:rFonts w:ascii="Century" w:hAnsi="Century"/>
          <w:rtl/>
        </w:rPr>
        <w:t xml:space="preserve">בג"ץ 5364/94 </w:t>
      </w:r>
      <w:r w:rsidRPr="00295DDF">
        <w:rPr>
          <w:rFonts w:ascii="Century" w:hAnsi="Century" w:cs="Miriam"/>
          <w:b/>
          <w:spacing w:val="0"/>
          <w:szCs w:val="24"/>
          <w:rtl/>
        </w:rPr>
        <w:t>ולנר נ</w:t>
      </w:r>
      <w:r w:rsidRPr="00295DDF">
        <w:rPr>
          <w:rFonts w:ascii="Century" w:hAnsi="Century" w:cs="Miriam" w:hint="cs"/>
          <w:b/>
          <w:spacing w:val="0"/>
          <w:szCs w:val="24"/>
          <w:rtl/>
        </w:rPr>
        <w:t>'</w:t>
      </w:r>
      <w:r w:rsidRPr="00295DDF">
        <w:rPr>
          <w:rFonts w:ascii="Century" w:hAnsi="Century" w:cs="Miriam"/>
          <w:b/>
          <w:spacing w:val="0"/>
          <w:szCs w:val="24"/>
          <w:rtl/>
        </w:rPr>
        <w:t xml:space="preserve"> יו"ר מפלגת העבודה הישראלית</w:t>
      </w:r>
      <w:r w:rsidRPr="00295DDF">
        <w:rPr>
          <w:rFonts w:ascii="Century" w:hAnsi="Century"/>
          <w:rtl/>
        </w:rPr>
        <w:t>, פ"ד מט</w:t>
      </w:r>
      <w:r>
        <w:rPr>
          <w:rFonts w:hint="cs"/>
          <w:rtl/>
        </w:rPr>
        <w:t xml:space="preserve">(1) 758 (1995) (להלן: </w:t>
      </w:r>
      <w:r w:rsidRPr="00F411A8">
        <w:rPr>
          <w:rFonts w:ascii="Century" w:hAnsi="Century" w:hint="cs"/>
          <w:rtl/>
        </w:rPr>
        <w:t>עניין</w:t>
      </w:r>
      <w:r w:rsidRPr="006714B2">
        <w:rPr>
          <w:rFonts w:ascii="Century" w:hAnsi="Century" w:cs="Miriam" w:hint="cs"/>
          <w:b/>
          <w:spacing w:val="0"/>
          <w:szCs w:val="24"/>
          <w:rtl/>
        </w:rPr>
        <w:t xml:space="preserve"> ולנר</w:t>
      </w:r>
      <w:r>
        <w:rPr>
          <w:rFonts w:hint="cs"/>
          <w:rtl/>
        </w:rPr>
        <w:t>) לפיה ההסכם הפוליטי אינו יכול להיות מקור לזכויות ולחובות במשפט בין הצדדים לו.</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בקצה השני של המשרעת, אנו מוצאים את הגישה לפיה יש להחיל על הסכמים פוליטיים את דיני החוזים במלואם, כתחולה ישירה וראשונית; ובהמשך לכך, פיתוח דיני ההסכמים הפוליטיים יכול וצריך להיעשות מתוך דיני החוזים, באנלוגיה ל"דואליות הנורמטיבית" בחוזי-רשות (גבריאלה </w:t>
      </w:r>
      <w:r w:rsidRPr="00295DDF">
        <w:rPr>
          <w:rFonts w:ascii="Century" w:hAnsi="Century" w:hint="eastAsia"/>
          <w:rtl/>
        </w:rPr>
        <w:t>שלו</w:t>
      </w:r>
      <w:r w:rsidRPr="00295DDF">
        <w:rPr>
          <w:rFonts w:ascii="Century" w:hAnsi="Century"/>
          <w:rtl/>
        </w:rPr>
        <w:t xml:space="preserve"> "הסכמים פוליטיים"</w:t>
      </w:r>
      <w:r w:rsidRPr="00295DDF">
        <w:rPr>
          <w:rFonts w:ascii="Century" w:hAnsi="Century" w:hint="cs"/>
          <w:rtl/>
        </w:rPr>
        <w:t xml:space="preserve"> </w:t>
      </w:r>
      <w:r w:rsidRPr="00295DDF">
        <w:rPr>
          <w:rFonts w:ascii="Century" w:hAnsi="Century" w:cs="Miriam" w:hint="cs"/>
          <w:b/>
          <w:spacing w:val="0"/>
          <w:szCs w:val="24"/>
          <w:rtl/>
        </w:rPr>
        <w:t>עיוני משפט</w:t>
      </w:r>
      <w:r w:rsidRPr="00295DDF">
        <w:rPr>
          <w:rFonts w:ascii="Century" w:hAnsi="Century" w:hint="cs"/>
          <w:rtl/>
        </w:rPr>
        <w:t xml:space="preserve"> טז</w:t>
      </w:r>
      <w:r>
        <w:rPr>
          <w:rFonts w:ascii="Century" w:hAnsi="Century" w:hint="cs"/>
          <w:rtl/>
        </w:rPr>
        <w:t xml:space="preserve"> 215 </w:t>
      </w:r>
      <w:r w:rsidRPr="00295DDF">
        <w:rPr>
          <w:rFonts w:ascii="Century" w:hAnsi="Century" w:hint="cs"/>
          <w:rtl/>
        </w:rPr>
        <w:t>(תשנ"א)</w:t>
      </w:r>
      <w:r>
        <w:rPr>
          <w:rFonts w:hint="cs"/>
          <w:rtl/>
        </w:rPr>
        <w:t xml:space="preserve">; וראו גם </w:t>
      </w:r>
      <w:r w:rsidRPr="00295DDF">
        <w:rPr>
          <w:rFonts w:ascii="Century" w:hAnsi="Century" w:hint="cs"/>
          <w:rtl/>
        </w:rPr>
        <w:t>א</w:t>
      </w:r>
      <w:r>
        <w:rPr>
          <w:rFonts w:ascii="Century" w:hAnsi="Century" w:hint="cs"/>
          <w:rtl/>
        </w:rPr>
        <w:t>ריאל</w:t>
      </w:r>
      <w:r w:rsidRPr="00295DDF">
        <w:rPr>
          <w:rFonts w:ascii="Century" w:hAnsi="Century" w:hint="cs"/>
          <w:rtl/>
        </w:rPr>
        <w:t xml:space="preserve"> </w:t>
      </w:r>
      <w:r w:rsidRPr="00295DDF">
        <w:rPr>
          <w:rFonts w:ascii="Century" w:hAnsi="Century" w:hint="eastAsia"/>
          <w:rtl/>
        </w:rPr>
        <w:t>בנדור</w:t>
      </w:r>
      <w:r w:rsidRPr="00295DDF">
        <w:rPr>
          <w:rFonts w:ascii="Century" w:hAnsi="Century"/>
          <w:rtl/>
        </w:rPr>
        <w:t xml:space="preserve"> "דינו של הסכם פוליטי"</w:t>
      </w:r>
      <w:r w:rsidRPr="00295DDF">
        <w:rPr>
          <w:rFonts w:hint="cs"/>
          <w:rtl/>
        </w:rPr>
        <w:t xml:space="preserve"> </w:t>
      </w:r>
      <w:r w:rsidRPr="00F411A8">
        <w:rPr>
          <w:rFonts w:ascii="Century" w:hAnsi="Century" w:cs="Miriam" w:hint="cs"/>
          <w:b/>
          <w:spacing w:val="0"/>
          <w:szCs w:val="24"/>
          <w:rtl/>
        </w:rPr>
        <w:t>משפט וממשל</w:t>
      </w:r>
      <w:r>
        <w:rPr>
          <w:rFonts w:hint="cs"/>
          <w:rtl/>
        </w:rPr>
        <w:t xml:space="preserve"> ג 297, 318 (תשנ"ה)</w:t>
      </w:r>
      <w:r>
        <w:rPr>
          <w:rFonts w:ascii="Century" w:hAnsi="Century" w:cs="Miriam" w:hint="cs"/>
          <w:b/>
          <w:spacing w:val="0"/>
          <w:szCs w:val="24"/>
          <w:rtl/>
        </w:rPr>
        <w:t xml:space="preserve"> </w:t>
      </w:r>
      <w:r>
        <w:rPr>
          <w:rFonts w:hint="cs"/>
          <w:rtl/>
        </w:rPr>
        <w:t>אשר מכיר בתוקף המשפטי של ההסכם הפוליטי, ואף סבור כי בהסכמים פוליטיים שבהם בתמורה להתחייבות של צד אחד, מתחייב הצד האחר להפעיל את סמכותו השלטונית, רשאי בית המשפט ליתן גם סעד של אכיפה).</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בתווך, בין שתי דעות אלו, אנו מוצאים את הגישה לפיה יש לבחון את ההסכם הפוליטי בשני שלבים. בשלב הראשון, יש לבחון אם הייתה מלכתחילה כוונה ליצור יחסים משפטיים. רק אם התשובה חיובית, עוברים לשלב השני ומחילים את דיני החוזים לצד דיני המשפט הציבורי. דהיינו, ההסכם הפוליטי הוא חוזה מעורב הכפוף הן לדיני החוזים הרגילים והן לדינים המיוחדים להסכמים פוליטיים, אך </w:t>
      </w:r>
      <w:r w:rsidRPr="00942010">
        <w:rPr>
          <w:rFonts w:ascii="Century" w:hAnsi="Century"/>
          <w:rtl/>
        </w:rPr>
        <w:t>"</w:t>
      </w:r>
      <w:r w:rsidRPr="00295DDF">
        <w:rPr>
          <w:rFonts w:ascii="Century" w:hAnsi="Century" w:cs="Miriam" w:hint="cs"/>
          <w:b/>
          <w:spacing w:val="0"/>
          <w:szCs w:val="24"/>
          <w:rtl/>
        </w:rPr>
        <w:t>לעיתים קרובות, ואולי בדרך כלל, אכיפה באמצעות צו שיפוטי לא תהיה הולמת את המהות המיוחדת של החוזה הפוליטי</w:t>
      </w:r>
      <w:r>
        <w:rPr>
          <w:rFonts w:hint="cs"/>
          <w:rtl/>
        </w:rPr>
        <w:t xml:space="preserve">" (יצחק זמיר "הסכמים פוליטיים" </w:t>
      </w:r>
      <w:r w:rsidRPr="00295DDF">
        <w:rPr>
          <w:rFonts w:ascii="Century" w:hAnsi="Century" w:cs="Miriam" w:hint="cs"/>
          <w:b/>
          <w:spacing w:val="0"/>
          <w:szCs w:val="24"/>
          <w:rtl/>
        </w:rPr>
        <w:t>ספר לנדוי</w:t>
      </w:r>
      <w:r>
        <w:rPr>
          <w:rFonts w:hint="cs"/>
          <w:rtl/>
        </w:rPr>
        <w:t xml:space="preserve"> כרך ב 779, 808 (תשנ"ה); </w:t>
      </w:r>
      <w:r w:rsidRPr="00295DDF">
        <w:rPr>
          <w:rFonts w:ascii="Century" w:hAnsi="Century"/>
          <w:rtl/>
        </w:rPr>
        <w:t xml:space="preserve">ע"א 6490/97 </w:t>
      </w:r>
      <w:r w:rsidRPr="00295DDF">
        <w:rPr>
          <w:rFonts w:ascii="Century" w:hAnsi="Century" w:cs="Miriam"/>
          <w:b/>
          <w:spacing w:val="0"/>
          <w:szCs w:val="24"/>
          <w:rtl/>
        </w:rPr>
        <w:t>אלחג' נ</w:t>
      </w:r>
      <w:r w:rsidRPr="00295DDF">
        <w:rPr>
          <w:rFonts w:ascii="Century" w:hAnsi="Century" w:cs="Miriam" w:hint="cs"/>
          <w:b/>
          <w:spacing w:val="0"/>
          <w:szCs w:val="24"/>
          <w:rtl/>
        </w:rPr>
        <w:t>'</w:t>
      </w:r>
      <w:r w:rsidRPr="00295DDF">
        <w:rPr>
          <w:rFonts w:ascii="Century" w:hAnsi="Century" w:cs="Miriam"/>
          <w:b/>
          <w:spacing w:val="0"/>
          <w:szCs w:val="24"/>
          <w:rtl/>
        </w:rPr>
        <w:t xml:space="preserve"> אבו עקל</w:t>
      </w:r>
      <w:r w:rsidRPr="00295DDF">
        <w:rPr>
          <w:rFonts w:ascii="Century" w:hAnsi="Century"/>
          <w:rtl/>
        </w:rPr>
        <w:t>, פ"ד נג</w:t>
      </w:r>
      <w:r w:rsidRPr="00295DDF">
        <w:rPr>
          <w:rFonts w:ascii="Century" w:hAnsi="Century" w:hint="cs"/>
          <w:rtl/>
        </w:rPr>
        <w:t>(2</w:t>
      </w:r>
      <w:r>
        <w:rPr>
          <w:rFonts w:hint="cs"/>
          <w:rtl/>
        </w:rPr>
        <w:t xml:space="preserve">) 49 (1999) (להלן: </w:t>
      </w:r>
      <w:r w:rsidRPr="00F411A8">
        <w:rPr>
          <w:rFonts w:ascii="Century" w:hAnsi="Century" w:hint="cs"/>
          <w:rtl/>
        </w:rPr>
        <w:t>עניין</w:t>
      </w:r>
      <w:r w:rsidRPr="00E05BC5">
        <w:rPr>
          <w:rFonts w:ascii="Century" w:hAnsi="Century" w:cs="Miriam" w:hint="cs"/>
          <w:b/>
          <w:spacing w:val="0"/>
          <w:szCs w:val="24"/>
          <w:rtl/>
        </w:rPr>
        <w:t xml:space="preserve"> א</w:t>
      </w:r>
      <w:r>
        <w:rPr>
          <w:rFonts w:ascii="Century" w:hAnsi="Century" w:cs="Miriam" w:hint="cs"/>
          <w:b/>
          <w:spacing w:val="0"/>
          <w:szCs w:val="24"/>
          <w:rtl/>
        </w:rPr>
        <w:t>לחג'</w:t>
      </w:r>
      <w:r>
        <w:rPr>
          <w:rFonts w:hint="cs"/>
          <w:rtl/>
        </w:rPr>
        <w:t xml:space="preserve">)). גישה נוספת, הובעה על ידי השופטים </w:t>
      </w:r>
      <w:r w:rsidRPr="00F411A8">
        <w:rPr>
          <w:rFonts w:ascii="Century" w:hAnsi="Century" w:cs="Miriam" w:hint="cs"/>
          <w:b/>
          <w:spacing w:val="0"/>
          <w:szCs w:val="24"/>
          <w:rtl/>
        </w:rPr>
        <w:t>א' ברק</w:t>
      </w:r>
      <w:r>
        <w:rPr>
          <w:rFonts w:hint="cs"/>
          <w:rtl/>
        </w:rPr>
        <w:t xml:space="preserve"> ו</w:t>
      </w:r>
      <w:r w:rsidRPr="00F411A8">
        <w:rPr>
          <w:rFonts w:ascii="Century" w:hAnsi="Century" w:cs="Miriam" w:hint="cs"/>
          <w:b/>
          <w:spacing w:val="0"/>
          <w:szCs w:val="24"/>
          <w:rtl/>
        </w:rPr>
        <w:t>מ' אלון</w:t>
      </w:r>
      <w:r>
        <w:rPr>
          <w:rFonts w:hint="cs"/>
          <w:rtl/>
        </w:rPr>
        <w:t xml:space="preserve"> </w:t>
      </w:r>
      <w:r w:rsidRPr="00333BAA">
        <w:rPr>
          <w:rFonts w:ascii="Century" w:hAnsi="Century" w:hint="cs"/>
          <w:rtl/>
        </w:rPr>
        <w:t>ב</w:t>
      </w:r>
      <w:r w:rsidRPr="00333BAA">
        <w:rPr>
          <w:rFonts w:ascii="Century" w:hAnsi="Century"/>
          <w:rtl/>
        </w:rPr>
        <w:t xml:space="preserve">בג"ץ 1635/90 </w:t>
      </w:r>
      <w:r w:rsidRPr="00333BAA">
        <w:rPr>
          <w:rFonts w:ascii="Century" w:hAnsi="Century" w:cs="Miriam"/>
          <w:b/>
          <w:spacing w:val="0"/>
          <w:szCs w:val="24"/>
          <w:rtl/>
        </w:rPr>
        <w:t>ז'רז'בסקי נ</w:t>
      </w:r>
      <w:r w:rsidRPr="00333BAA">
        <w:rPr>
          <w:rFonts w:ascii="Century" w:hAnsi="Century" w:cs="Miriam" w:hint="cs"/>
          <w:b/>
          <w:spacing w:val="0"/>
          <w:szCs w:val="24"/>
          <w:rtl/>
        </w:rPr>
        <w:t>'</w:t>
      </w:r>
      <w:r w:rsidRPr="00333BAA">
        <w:rPr>
          <w:rFonts w:ascii="Century" w:hAnsi="Century" w:cs="Miriam"/>
          <w:b/>
          <w:spacing w:val="0"/>
          <w:szCs w:val="24"/>
          <w:rtl/>
        </w:rPr>
        <w:t xml:space="preserve"> ראש הממשלה</w:t>
      </w:r>
      <w:r w:rsidRPr="00333BAA">
        <w:rPr>
          <w:rFonts w:ascii="Century" w:hAnsi="Century"/>
          <w:rtl/>
        </w:rPr>
        <w:t>, פ"ד מה</w:t>
      </w:r>
      <w:r>
        <w:rPr>
          <w:rFonts w:hint="cs"/>
          <w:rtl/>
        </w:rPr>
        <w:t xml:space="preserve">(1) 749 (1991), ולפיה הסכם פוליטי אינו חוזה רגיל, וככזה, הוא לא נשלט במישרין על ידי דיני החוזים אלא על ידי המשפט הציבורי. דעה זו אומצה ונזכרה בעניין </w:t>
      </w:r>
      <w:r w:rsidRPr="006714B2">
        <w:rPr>
          <w:rFonts w:ascii="Century" w:hAnsi="Century" w:cs="Miriam" w:hint="cs"/>
          <w:b/>
          <w:spacing w:val="0"/>
          <w:szCs w:val="24"/>
          <w:rtl/>
        </w:rPr>
        <w:t>ולנר</w:t>
      </w:r>
      <w:r w:rsidRPr="00333BAA">
        <w:rPr>
          <w:rFonts w:ascii="Century" w:hAnsi="Century" w:hint="cs"/>
          <w:rtl/>
        </w:rPr>
        <w:t xml:space="preserve"> </w:t>
      </w:r>
      <w:r>
        <w:rPr>
          <w:rFonts w:ascii="Century" w:hAnsi="Century" w:hint="cs"/>
          <w:rtl/>
        </w:rPr>
        <w:t>(</w:t>
      </w:r>
      <w:r>
        <w:rPr>
          <w:rFonts w:hint="cs"/>
          <w:rtl/>
        </w:rPr>
        <w:t xml:space="preserve">לסקירת הגישות השונות והתפתחות ההלכה, ראו פסק דינה של השופטת </w:t>
      </w:r>
      <w:r>
        <w:rPr>
          <w:rFonts w:ascii="Century" w:hAnsi="Century" w:cs="Miriam" w:hint="cs"/>
          <w:b/>
          <w:spacing w:val="0"/>
          <w:szCs w:val="24"/>
          <w:rtl/>
        </w:rPr>
        <w:t xml:space="preserve">א' </w:t>
      </w:r>
      <w:r w:rsidRPr="00F411A8">
        <w:rPr>
          <w:rFonts w:ascii="Century" w:hAnsi="Century" w:cs="Miriam" w:hint="cs"/>
          <w:b/>
          <w:spacing w:val="0"/>
          <w:szCs w:val="24"/>
          <w:rtl/>
        </w:rPr>
        <w:t>פרוקצ</w:t>
      </w:r>
      <w:r>
        <w:rPr>
          <w:rFonts w:ascii="Century" w:hAnsi="Century" w:cs="Miriam" w:hint="cs"/>
          <w:b/>
          <w:spacing w:val="0"/>
          <w:szCs w:val="24"/>
          <w:rtl/>
        </w:rPr>
        <w:t>'</w:t>
      </w:r>
      <w:r w:rsidRPr="00F411A8">
        <w:rPr>
          <w:rFonts w:ascii="Century" w:hAnsi="Century" w:cs="Miriam" w:hint="cs"/>
          <w:b/>
          <w:spacing w:val="0"/>
          <w:szCs w:val="24"/>
          <w:rtl/>
        </w:rPr>
        <w:t>יה</w:t>
      </w:r>
      <w:r>
        <w:rPr>
          <w:rFonts w:hint="cs"/>
          <w:rtl/>
        </w:rPr>
        <w:t xml:space="preserve"> </w:t>
      </w:r>
      <w:r w:rsidRPr="00333BAA">
        <w:rPr>
          <w:rFonts w:ascii="Century" w:hAnsi="Century" w:hint="cs"/>
          <w:rtl/>
        </w:rPr>
        <w:t>ב</w:t>
      </w:r>
      <w:r w:rsidRPr="00333BAA">
        <w:rPr>
          <w:rFonts w:ascii="Century" w:hAnsi="Century"/>
          <w:rtl/>
        </w:rPr>
        <w:t xml:space="preserve">עע"מ 5042/01 </w:t>
      </w:r>
      <w:r w:rsidRPr="00333BAA">
        <w:rPr>
          <w:rFonts w:ascii="Century" w:hAnsi="Century" w:cs="Miriam"/>
          <w:b/>
          <w:spacing w:val="0"/>
          <w:szCs w:val="24"/>
          <w:rtl/>
        </w:rPr>
        <w:t>זיד נ</w:t>
      </w:r>
      <w:r w:rsidRPr="00333BAA">
        <w:rPr>
          <w:rFonts w:ascii="Century" w:hAnsi="Century" w:cs="Miriam" w:hint="cs"/>
          <w:b/>
          <w:spacing w:val="0"/>
          <w:szCs w:val="24"/>
          <w:rtl/>
        </w:rPr>
        <w:t>'</w:t>
      </w:r>
      <w:r w:rsidRPr="00333BAA">
        <w:rPr>
          <w:rFonts w:ascii="Century" w:hAnsi="Century" w:cs="Miriam"/>
          <w:b/>
          <w:spacing w:val="0"/>
          <w:szCs w:val="24"/>
          <w:rtl/>
        </w:rPr>
        <w:t xml:space="preserve"> חורפיש</w:t>
      </w:r>
      <w:r w:rsidRPr="00333BAA">
        <w:rPr>
          <w:rFonts w:ascii="Century" w:hAnsi="Century"/>
          <w:rtl/>
        </w:rPr>
        <w:t>, פ"ד נו</w:t>
      </w:r>
      <w:r>
        <w:rPr>
          <w:rFonts w:ascii="Century" w:hAnsi="Century" w:hint="cs"/>
          <w:rtl/>
        </w:rPr>
        <w:t>(</w:t>
      </w:r>
      <w:r>
        <w:rPr>
          <w:rFonts w:hint="cs"/>
          <w:rtl/>
        </w:rPr>
        <w:t>3) 865</w:t>
      </w:r>
      <w:r>
        <w:rPr>
          <w:rFonts w:ascii="Century" w:hAnsi="Century" w:hint="cs"/>
          <w:rtl/>
        </w:rPr>
        <w:t xml:space="preserve"> (2002); על התערבות בית המשפט בהסכמים פוליטיים ראו </w:t>
      </w:r>
      <w:r>
        <w:rPr>
          <w:rFonts w:hint="cs"/>
          <w:rtl/>
        </w:rPr>
        <w:t xml:space="preserve">דפנה </w:t>
      </w:r>
      <w:r w:rsidRPr="005C06BA">
        <w:rPr>
          <w:rFonts w:ascii="Century" w:hAnsi="Century" w:hint="cs"/>
          <w:rtl/>
        </w:rPr>
        <w:t>ברק-</w:t>
      </w:r>
      <w:r w:rsidRPr="005C06BA">
        <w:rPr>
          <w:rFonts w:ascii="Century" w:hAnsi="Century" w:hint="eastAsia"/>
          <w:rtl/>
        </w:rPr>
        <w:t>ארז</w:t>
      </w:r>
      <w:r w:rsidRPr="005C06BA">
        <w:rPr>
          <w:rFonts w:ascii="Century" w:hAnsi="Century"/>
          <w:rtl/>
        </w:rPr>
        <w:t xml:space="preserve"> "השפיטות של הפוליטיקה"</w:t>
      </w:r>
      <w:r w:rsidRPr="005C06BA">
        <w:rPr>
          <w:rFonts w:hint="cs"/>
          <w:rtl/>
        </w:rPr>
        <w:t xml:space="preserve"> </w:t>
      </w:r>
      <w:r w:rsidRPr="005C06BA">
        <w:rPr>
          <w:rFonts w:ascii="Century" w:hAnsi="Century" w:cs="Miriam" w:hint="cs"/>
          <w:b/>
          <w:spacing w:val="0"/>
          <w:szCs w:val="24"/>
          <w:rtl/>
        </w:rPr>
        <w:t>פלילים</w:t>
      </w:r>
      <w:r>
        <w:rPr>
          <w:rFonts w:hint="cs"/>
          <w:rtl/>
        </w:rPr>
        <w:t xml:space="preserve"> ח 369, 375-372 (1999)).</w:t>
      </w:r>
    </w:p>
    <w:p w:rsidR="00503E45" w:rsidRDefault="00503E45" w:rsidP="00503E45">
      <w:pPr>
        <w:pStyle w:val="Ruller40"/>
        <w:rPr>
          <w:rFonts w:ascii="Century" w:hAnsi="Century"/>
          <w:rtl/>
        </w:rPr>
      </w:pPr>
    </w:p>
    <w:p w:rsidR="00503E45" w:rsidRDefault="00503E45" w:rsidP="00503E45">
      <w:pPr>
        <w:pStyle w:val="Ruller40"/>
        <w:rPr>
          <w:rFonts w:ascii="Century" w:hAnsi="Century"/>
          <w:rtl/>
        </w:rPr>
      </w:pPr>
      <w:r>
        <w:rPr>
          <w:rFonts w:ascii="Century" w:hAnsi="Century" w:hint="cs"/>
          <w:rtl/>
        </w:rPr>
        <w:t>18.</w:t>
      </w:r>
      <w:r>
        <w:rPr>
          <w:rFonts w:ascii="Century" w:hAnsi="Century" w:hint="cs"/>
          <w:rtl/>
        </w:rPr>
        <w:tab/>
        <w:t xml:space="preserve">הסכם פוליטי כשמו כן הוא, ומכאן הזהירות בה נוקט בית המשפט בבואו לדרוך במגרש הפוליטי (עניין </w:t>
      </w:r>
      <w:r>
        <w:rPr>
          <w:rFonts w:ascii="Century" w:hAnsi="Century" w:cs="Miriam" w:hint="cs"/>
          <w:b/>
          <w:spacing w:val="0"/>
          <w:szCs w:val="24"/>
          <w:rtl/>
        </w:rPr>
        <w:t>אלחג'</w:t>
      </w:r>
      <w:r>
        <w:rPr>
          <w:rFonts w:hint="cs"/>
          <w:rtl/>
        </w:rPr>
        <w:t xml:space="preserve">, בעמ' 58). עם זאת, </w:t>
      </w:r>
      <w:r>
        <w:rPr>
          <w:rFonts w:ascii="Century" w:hAnsi="Century" w:hint="cs"/>
          <w:rtl/>
        </w:rPr>
        <w:t xml:space="preserve">נוכח הפן ההסכמי-חוזי של ההסכם הפוליטי, ההתערבות בהסכם כזה נדרשת, ולעיתים מתחייבת, מקום בו הוראות ההסכם עומדות בסתירה לסעיף 30 לחוק החוזים (חלק כללי), התשל"ג-1973, והדברים אמורים בעיקר לגבי תקנת הציבור. </w:t>
      </w:r>
    </w:p>
    <w:p w:rsidR="00503E45" w:rsidRDefault="00503E45" w:rsidP="00503E45">
      <w:pPr>
        <w:pStyle w:val="Ruller40"/>
        <w:rPr>
          <w:rFonts w:ascii="Century" w:hAnsi="Century"/>
          <w:rtl/>
        </w:rPr>
      </w:pPr>
    </w:p>
    <w:p w:rsidR="00503E45" w:rsidRDefault="00503E45" w:rsidP="00503E45">
      <w:pPr>
        <w:pStyle w:val="Ruller40"/>
        <w:rPr>
          <w:rFonts w:ascii="Century" w:hAnsi="Century"/>
          <w:rtl/>
        </w:rPr>
      </w:pPr>
      <w:r>
        <w:rPr>
          <w:rFonts w:ascii="Century" w:hAnsi="Century" w:hint="cs"/>
          <w:rtl/>
        </w:rPr>
        <w:t>19.</w:t>
      </w:r>
      <w:r>
        <w:rPr>
          <w:rFonts w:ascii="Century" w:hAnsi="Century" w:hint="cs"/>
          <w:rtl/>
        </w:rPr>
        <w:tab/>
        <w:t xml:space="preserve">ההסכם שבפנינו, כפי שהצהירו הצדדים עצמם, נולד מתוך חוסר אמון הדדי, כקיפודים המתנים אהבים </w:t>
      </w:r>
      <w:r>
        <w:rPr>
          <w:rFonts w:ascii="Century" w:hAnsi="Century"/>
          <w:rtl/>
        </w:rPr>
        <w:t>–</w:t>
      </w:r>
      <w:r>
        <w:rPr>
          <w:rFonts w:ascii="Century" w:hAnsi="Century" w:hint="cs"/>
          <w:rtl/>
        </w:rPr>
        <w:t xml:space="preserve"> בחשדנות ובזהירות של האחד מפני קוציו של משנהו.  מפרי הבטן של שידוך זה נולד, אין לכחד, יצור חדש ויקרא שמו בישראל "ממשלה דו-ראשית" או "ממשלה דו-גושית" או "ממשלת חילופים". ממשלה יוצאת דופן זו הניבה תיקוני חקיקה בחוקי יסוד ובחוקים אחרים, ותיקונים אלה, שבאו לעולם לאחר שניתנה הכרעתנו, נופלים לקבוצה הראשונה והשנייה כאמור בסעיף 23 לפסק דינה של הנשיאה. ממילא אין לעסוק בהם במסגרת פסק דין זה. </w:t>
      </w:r>
    </w:p>
    <w:p w:rsidR="00503E45" w:rsidRDefault="00503E45" w:rsidP="00503E45">
      <w:pPr>
        <w:pStyle w:val="Ruller40"/>
        <w:rPr>
          <w:rFonts w:ascii="Century" w:hAnsi="Century"/>
          <w:rtl/>
        </w:rPr>
      </w:pPr>
    </w:p>
    <w:p w:rsidR="00503E45" w:rsidRDefault="00503E45" w:rsidP="00503E45">
      <w:pPr>
        <w:pStyle w:val="Ruller40"/>
        <w:rPr>
          <w:rFonts w:ascii="Century" w:hAnsi="Century"/>
          <w:rtl/>
        </w:rPr>
      </w:pPr>
      <w:r>
        <w:rPr>
          <w:rFonts w:ascii="Century" w:hAnsi="Century" w:hint="cs"/>
          <w:rtl/>
        </w:rPr>
        <w:t>20.</w:t>
      </w:r>
      <w:r>
        <w:rPr>
          <w:rFonts w:ascii="Century" w:hAnsi="Century" w:hint="cs"/>
          <w:rtl/>
        </w:rPr>
        <w:tab/>
        <w:t>אסתפק בשתי הערות "טלגרפיות" לגבי ההסכם הקואליציוני:</w:t>
      </w:r>
    </w:p>
    <w:p w:rsidR="00503E45" w:rsidRDefault="00503E45" w:rsidP="00503E45">
      <w:pPr>
        <w:pStyle w:val="Ruller40"/>
        <w:rPr>
          <w:rtl/>
        </w:rPr>
      </w:pPr>
    </w:p>
    <w:p w:rsidR="00503E45" w:rsidRDefault="00503E45" w:rsidP="00503E45">
      <w:pPr>
        <w:pStyle w:val="Ruller40"/>
        <w:rPr>
          <w:rtl/>
        </w:rPr>
      </w:pPr>
      <w:r>
        <w:rPr>
          <w:rtl/>
        </w:rPr>
        <w:tab/>
      </w:r>
      <w:r>
        <w:rPr>
          <w:rFonts w:hint="cs"/>
          <w:rtl/>
        </w:rPr>
        <w:t xml:space="preserve">(-) ממשלה שטרם קמה, אינה אמורה לשתק את פעילות הכנסת, שהיא הרשות המחוקקת: </w:t>
      </w:r>
      <w:r>
        <w:rPr>
          <w:rFonts w:ascii="FrankRuehl" w:hAnsi="FrankRuehl" w:hint="cs"/>
          <w:sz w:val="28"/>
          <w:rtl/>
        </w:rPr>
        <w:t>"</w:t>
      </w:r>
      <w:r w:rsidRPr="007164AE">
        <w:rPr>
          <w:rFonts w:ascii="FrankRuehl" w:hAnsi="FrankRuehl"/>
          <w:sz w:val="28"/>
          <w:rtl/>
        </w:rPr>
        <w:t xml:space="preserve">הממשלה היא שיונקת את חיותה מהכנסת, ולא להיפך. על אחת כמה וכמה, שממשלה שטרם באה לעולם אינה יכולה לשלוט על הכנסת ולהורות לה </w:t>
      </w:r>
      <w:r>
        <w:rPr>
          <w:rFonts w:ascii="FrankRuehl" w:hAnsi="FrankRuehl" w:hint="cs"/>
          <w:sz w:val="28"/>
          <w:rtl/>
        </w:rPr>
        <w:t>'</w:t>
      </w:r>
      <w:r w:rsidRPr="007164AE">
        <w:rPr>
          <w:rFonts w:ascii="FrankRuehl" w:hAnsi="FrankRuehl"/>
          <w:sz w:val="28"/>
          <w:rtl/>
        </w:rPr>
        <w:t>לדומם מנועים</w:t>
      </w:r>
      <w:r>
        <w:rPr>
          <w:rFonts w:ascii="FrankRuehl" w:hAnsi="FrankRuehl" w:hint="cs"/>
          <w:sz w:val="28"/>
          <w:rtl/>
        </w:rPr>
        <w:t>' ..."</w:t>
      </w:r>
      <w:r w:rsidRPr="007164AE">
        <w:rPr>
          <w:rFonts w:ascii="FrankRuehl" w:hAnsi="FrankRuehl"/>
          <w:sz w:val="28"/>
          <w:rtl/>
        </w:rPr>
        <w:t xml:space="preserve"> </w:t>
      </w:r>
      <w:r>
        <w:rPr>
          <w:rFonts w:ascii="FrankRuehl" w:hAnsi="FrankRuehl" w:hint="cs"/>
          <w:sz w:val="28"/>
          <w:rtl/>
        </w:rPr>
        <w:t xml:space="preserve">(פסק דיני </w:t>
      </w:r>
      <w:r>
        <w:rPr>
          <w:rFonts w:hint="cs"/>
          <w:rtl/>
        </w:rPr>
        <w:t>בב</w:t>
      </w:r>
      <w:r w:rsidRPr="00F411A8">
        <w:rPr>
          <w:rFonts w:hint="eastAsia"/>
          <w:rtl/>
        </w:rPr>
        <w:t>ג</w:t>
      </w:r>
      <w:r w:rsidRPr="00F411A8">
        <w:rPr>
          <w:rtl/>
        </w:rPr>
        <w:t>"</w:t>
      </w:r>
      <w:r w:rsidRPr="00F411A8">
        <w:rPr>
          <w:rFonts w:hint="eastAsia"/>
          <w:rtl/>
        </w:rPr>
        <w:t>ץ</w:t>
      </w:r>
      <w:r w:rsidRPr="00F411A8">
        <w:rPr>
          <w:rtl/>
        </w:rPr>
        <w:t xml:space="preserve"> 2144/20</w:t>
      </w:r>
      <w:r w:rsidRPr="00F411A8">
        <w:rPr>
          <w:rFonts w:hint="cs"/>
          <w:rtl/>
        </w:rPr>
        <w:t xml:space="preserve"> </w:t>
      </w:r>
      <w:r w:rsidRPr="000A1340">
        <w:rPr>
          <w:rFonts w:cs="Miriam" w:hint="cs"/>
          <w:b/>
          <w:spacing w:val="0"/>
          <w:szCs w:val="24"/>
          <w:rtl/>
        </w:rPr>
        <w:t>התנועה למען איכות השלטון בישראל נ' יושב ראש הכנסת</w:t>
      </w:r>
      <w:r w:rsidRPr="000A1340">
        <w:rPr>
          <w:rFonts w:hint="cs"/>
          <w:rtl/>
        </w:rPr>
        <w:t xml:space="preserve"> (23.3.2020)</w:t>
      </w:r>
      <w:r>
        <w:rPr>
          <w:rFonts w:hint="cs"/>
          <w:rtl/>
        </w:rPr>
        <w:t xml:space="preserve">). לכן, טוב עשו הצדדים שהבהירו את כוונתם בהסכם. </w:t>
      </w:r>
    </w:p>
    <w:p w:rsidR="00503E45" w:rsidRDefault="00503E45" w:rsidP="00503E45">
      <w:pPr>
        <w:pStyle w:val="Ruller40"/>
        <w:rPr>
          <w:rtl/>
        </w:rPr>
      </w:pPr>
      <w:r>
        <w:rPr>
          <w:rtl/>
        </w:rPr>
        <w:tab/>
      </w:r>
      <w:r>
        <w:rPr>
          <w:rFonts w:hint="cs"/>
          <w:rtl/>
        </w:rPr>
        <w:t xml:space="preserve"> </w:t>
      </w:r>
    </w:p>
    <w:p w:rsidR="00503E45" w:rsidRDefault="00503E45" w:rsidP="00503E45">
      <w:pPr>
        <w:pStyle w:val="Ruller40"/>
        <w:rPr>
          <w:rFonts w:ascii="Century" w:hAnsi="Century"/>
          <w:rtl/>
        </w:rPr>
      </w:pPr>
      <w:r>
        <w:rPr>
          <w:rFonts w:ascii="Century" w:hAnsi="Century"/>
          <w:rtl/>
        </w:rPr>
        <w:tab/>
      </w:r>
      <w:r>
        <w:rPr>
          <w:rFonts w:ascii="Century" w:hAnsi="Century" w:hint="cs"/>
          <w:rtl/>
        </w:rPr>
        <w:t>(-) אנו מעמידים את הצדדים להסכם בחזקתם כי יפעלו על פי כל דין.</w:t>
      </w:r>
    </w:p>
    <w:p w:rsidR="00503E45" w:rsidRDefault="00503E45" w:rsidP="00503E45">
      <w:pPr>
        <w:pStyle w:val="Ruller40"/>
        <w:rPr>
          <w:rFonts w:ascii="Century" w:hAnsi="Century"/>
          <w:rtl/>
        </w:rPr>
      </w:pPr>
      <w:r>
        <w:rPr>
          <w:rFonts w:ascii="Century" w:hAnsi="Century"/>
          <w:rtl/>
        </w:rPr>
        <w:tab/>
      </w:r>
    </w:p>
    <w:p w:rsidR="00503E45" w:rsidRPr="006714B2" w:rsidRDefault="00503E45" w:rsidP="00503E45">
      <w:pPr>
        <w:pStyle w:val="Ruller40"/>
        <w:rPr>
          <w:rFonts w:ascii="Century" w:hAnsi="Century" w:cs="Miriam"/>
          <w:b/>
          <w:spacing w:val="0"/>
          <w:szCs w:val="24"/>
          <w:rtl/>
        </w:rPr>
      </w:pPr>
      <w:r w:rsidRPr="006714B2">
        <w:rPr>
          <w:rFonts w:ascii="Century" w:hAnsi="Century" w:cs="Miriam" w:hint="cs"/>
          <w:b/>
          <w:spacing w:val="0"/>
          <w:szCs w:val="24"/>
          <w:rtl/>
        </w:rPr>
        <w:t xml:space="preserve">הערות לפני סיום </w:t>
      </w:r>
    </w:p>
    <w:p w:rsidR="00503E45" w:rsidRDefault="00503E45" w:rsidP="00503E45">
      <w:pPr>
        <w:pStyle w:val="Ruller40"/>
        <w:rPr>
          <w:rtl/>
        </w:rPr>
      </w:pPr>
    </w:p>
    <w:p w:rsidR="00503E45" w:rsidRDefault="00503E45" w:rsidP="00503E45">
      <w:pPr>
        <w:pStyle w:val="Ruller40"/>
        <w:rPr>
          <w:rtl/>
        </w:rPr>
      </w:pPr>
      <w:r>
        <w:rPr>
          <w:rFonts w:hint="cs"/>
          <w:rtl/>
        </w:rPr>
        <w:t>21.</w:t>
      </w:r>
      <w:r>
        <w:rPr>
          <w:rFonts w:hint="cs"/>
          <w:rtl/>
        </w:rPr>
        <w:tab/>
        <w:t xml:space="preserve">הטענה ל"דמוקרטיה מתגוננת" כפי שהועלתה על ידי העותרים בבג"ץ 2594/20, כבסיס לפסילתו של ח"כ בנימין נתניהו, נראית לי מרחיקת לכת (כך הוצע על ידי דניאל בן אוליאל במאמרו "העברת ראש ממשלה מכהן תחת כתב אישום מתפקידו" </w:t>
      </w:r>
      <w:r w:rsidRPr="006714B2">
        <w:rPr>
          <w:rFonts w:ascii="Century" w:hAnsi="Century" w:cs="Miriam" w:hint="cs"/>
          <w:b/>
          <w:spacing w:val="0"/>
          <w:szCs w:val="24"/>
          <w:rtl/>
        </w:rPr>
        <w:t>משפט וממשל</w:t>
      </w:r>
      <w:r w:rsidRPr="00DE024C">
        <w:rPr>
          <w:rFonts w:hint="cs"/>
          <w:rtl/>
        </w:rPr>
        <w:t xml:space="preserve"> </w:t>
      </w:r>
      <w:r>
        <w:rPr>
          <w:rFonts w:hint="cs"/>
          <w:rtl/>
        </w:rPr>
        <w:t xml:space="preserve">כא (2020) (עתיד להתפרסם) (להלן: </w:t>
      </w:r>
      <w:r w:rsidRPr="006714B2">
        <w:rPr>
          <w:rFonts w:ascii="Century" w:hAnsi="Century" w:cs="Miriam" w:hint="cs"/>
          <w:b/>
          <w:spacing w:val="0"/>
          <w:szCs w:val="24"/>
          <w:rtl/>
        </w:rPr>
        <w:t>בן אוליאל</w:t>
      </w:r>
      <w:r>
        <w:rPr>
          <w:rFonts w:hint="cs"/>
          <w:rtl/>
        </w:rPr>
        <w:t>)). את דוקטרינת ה"דמוקרטיה המתגוננת" ראוי לטעמי להשאיר בגבולותיה ובתחומיה, ואין מקום להרחיבה לתחומי טוהר המידות.</w:t>
      </w:r>
    </w:p>
    <w:p w:rsidR="00503E45" w:rsidRDefault="00503E45" w:rsidP="00503E45">
      <w:pPr>
        <w:pStyle w:val="Ruller40"/>
        <w:rPr>
          <w:rtl/>
        </w:rPr>
      </w:pPr>
    </w:p>
    <w:p w:rsidR="00503E45" w:rsidRDefault="00503E45" w:rsidP="00503E45">
      <w:pPr>
        <w:pStyle w:val="Ruller40"/>
        <w:rPr>
          <w:rtl/>
        </w:rPr>
      </w:pPr>
      <w:r>
        <w:rPr>
          <w:rFonts w:hint="cs"/>
          <w:rtl/>
        </w:rPr>
        <w:t>22.</w:t>
      </w:r>
      <w:r>
        <w:rPr>
          <w:rFonts w:hint="cs"/>
          <w:rtl/>
        </w:rPr>
        <w:tab/>
        <w:t xml:space="preserve">כל אחד מהצדדים הדגיש כי ככל שבית המשפט לא יפסוק על פי עמדתו, הדבר יגרור פגיעה באמון הציבור. טענה זו מביאה להרהור בשאלה מהו "אמון הציבור". יש שמבחינים בין שני סוגים של אמון הציבור </w:t>
      </w:r>
      <w:r>
        <w:rPr>
          <w:rtl/>
        </w:rPr>
        <w:t>–</w:t>
      </w:r>
      <w:r>
        <w:rPr>
          <w:rFonts w:hint="cs"/>
          <w:rtl/>
        </w:rPr>
        <w:t xml:space="preserve"> "אמון ציבור מסוים, הנוגע לסוגיה נדונה ואמון ציבור כללי, שהינו ארוך-טווח ורחב בהיקפו" (</w:t>
      </w:r>
      <w:r w:rsidRPr="006714B2">
        <w:rPr>
          <w:rFonts w:ascii="Century" w:hAnsi="Century" w:cs="Miriam" w:hint="cs"/>
          <w:b/>
          <w:spacing w:val="0"/>
          <w:szCs w:val="24"/>
          <w:rtl/>
        </w:rPr>
        <w:t>בן אוליאל</w:t>
      </w:r>
      <w:r>
        <w:rPr>
          <w:rFonts w:hint="cs"/>
          <w:rtl/>
        </w:rPr>
        <w:t xml:space="preserve">, טכסט לה"ש 112-111). לדידי, השאלה היא אם יש לראות את "אמון הציבור" כעניין אמפירי-עובדתי  שניתן לבדוק ולמדוד אותו בסקרי דעת קהל, או כמונח נורמטיבי, כפיקציה משפטית, כמו "האדם הסביר". כך או כך, ככל שמדברים אנו באמון הציבור ברשות השופטת, הרי ש </w:t>
      </w:r>
      <w:r>
        <w:rPr>
          <w:rtl/>
        </w:rPr>
        <w:t>–</w:t>
      </w:r>
      <w:r>
        <w:rPr>
          <w:rFonts w:hint="cs"/>
          <w:rtl/>
        </w:rPr>
        <w:t xml:space="preserve"> </w:t>
      </w:r>
    </w:p>
    <w:p w:rsidR="00503E45" w:rsidRDefault="00503E45" w:rsidP="00503E45">
      <w:pPr>
        <w:pStyle w:val="Ruller5"/>
        <w:rPr>
          <w:rtl/>
        </w:rPr>
      </w:pPr>
    </w:p>
    <w:p w:rsidR="00503E45" w:rsidRDefault="00503E45" w:rsidP="00503E45">
      <w:pPr>
        <w:pStyle w:val="Ruller5"/>
        <w:rPr>
          <w:rtl/>
        </w:rPr>
      </w:pPr>
      <w:r>
        <w:rPr>
          <w:rFonts w:hint="cs"/>
          <w:rtl/>
        </w:rPr>
        <w:t xml:space="preserve">"אמון הציבור בהקשר זה אין פירושו רדיפת אמון הציבור באשר אמון הציבור הוא, משל היו בתי המשפט משרתים המבקשים לרצות את אדונם. [...] בית המשפט אסור הוא לעשות מעשה כדי לרצות את הציבור או חלקים בו. בה בעת לא יתעלם בית המשפט מהלכי רוח שבציבור. בית המשפט לא יכריע בדין </w:t>
      </w:r>
      <w:r>
        <w:rPr>
          <w:rtl/>
        </w:rPr>
        <w:t>–</w:t>
      </w:r>
      <w:r>
        <w:rPr>
          <w:rFonts w:hint="cs"/>
          <w:rtl/>
        </w:rPr>
        <w:t xml:space="preserve"> אסור הוא להכריע בדין </w:t>
      </w:r>
      <w:r>
        <w:rPr>
          <w:rtl/>
        </w:rPr>
        <w:t>–</w:t>
      </w:r>
      <w:r>
        <w:rPr>
          <w:rFonts w:hint="cs"/>
          <w:rtl/>
        </w:rPr>
        <w:t xml:space="preserve"> על פי הלכי רוח אלה, ואולם לא יהא זה לא אנושי ולא נבון אם נאמר לו להתעלם מהם כמו לא היו. [...] אמון הציבור נדרש הוא לבית המשפט, ובלבד שנדע ונזהיר עצמנו היטב-היטב כי מדברים אנו לא בהסכמה של הציבור להכרעות של בית המשפט אלא באמון הציבור בכך שבית המשפט שוקל בדעתו כל שיש צורך לשקול; כי בוחן הוא כל פתרונות אפשריים הראויים לבחינה; והכול, כמובן, באותם תחומים הניתנים לשיקול דעתו של בית המשפט ולמדיניותה הכללית של הרשות השופטת במלאכת עשיית הצדק הראוי ובהשלטת המשפט על פני הרשע והשרירות" (מישאל חשין "אמון הציבור בבית המשפט </w:t>
      </w:r>
      <w:r>
        <w:rPr>
          <w:rtl/>
        </w:rPr>
        <w:t>–</w:t>
      </w:r>
      <w:r>
        <w:rPr>
          <w:rFonts w:hint="cs"/>
          <w:rtl/>
        </w:rPr>
        <w:t xml:space="preserve"> תגובה למאמרו של השופט חיים כהן ז"ל ולהרהורי הכפירה שלו במושג אמון הציבור" </w:t>
      </w:r>
      <w:r w:rsidRPr="00F411A8">
        <w:rPr>
          <w:rFonts w:ascii="Century" w:hAnsi="Century" w:cs="Miriam" w:hint="cs"/>
          <w:b/>
          <w:spacing w:val="0"/>
          <w:szCs w:val="24"/>
          <w:rtl/>
        </w:rPr>
        <w:t>המשפט</w:t>
      </w:r>
      <w:r>
        <w:rPr>
          <w:rFonts w:hint="cs"/>
          <w:rtl/>
        </w:rPr>
        <w:t xml:space="preserve"> ט 499 (2004)).</w:t>
      </w:r>
    </w:p>
    <w:p w:rsidR="00503E45" w:rsidRDefault="00503E45" w:rsidP="00503E45">
      <w:pPr>
        <w:pStyle w:val="Ruller5"/>
        <w:rPr>
          <w:rtl/>
        </w:rPr>
      </w:pPr>
    </w:p>
    <w:p w:rsidR="00503E45" w:rsidRDefault="00503E45" w:rsidP="00503E45">
      <w:pPr>
        <w:pStyle w:val="Ruller40"/>
        <w:rPr>
          <w:rtl/>
        </w:rPr>
      </w:pPr>
    </w:p>
    <w:p w:rsidR="00503E45" w:rsidRDefault="00503E45" w:rsidP="00503E45">
      <w:pPr>
        <w:pStyle w:val="Ruller40"/>
        <w:rPr>
          <w:rtl/>
        </w:rPr>
      </w:pPr>
      <w:r>
        <w:rPr>
          <w:rFonts w:hint="cs"/>
          <w:rtl/>
        </w:rPr>
        <w:tab/>
        <w:t>גם לעת הזו, בית המשפט "רואה את הקולות ואת הלפידים" (</w:t>
      </w:r>
      <w:r w:rsidRPr="0075473F">
        <w:rPr>
          <w:rFonts w:ascii="Century" w:hAnsi="Century" w:cs="Miriam" w:hint="cs"/>
          <w:b/>
          <w:spacing w:val="0"/>
          <w:szCs w:val="24"/>
          <w:rtl/>
        </w:rPr>
        <w:t>שמות</w:t>
      </w:r>
      <w:r>
        <w:rPr>
          <w:rFonts w:hint="cs"/>
          <w:rtl/>
        </w:rPr>
        <w:t xml:space="preserve"> כ, י"ד), אך הכרעתו בדין לעולם תיעשה על פי דין, ללא מורא וללא משוא פנים. בית המשפט לא יגור מפני אלו המבקשים לאיים על עצמאותו, ולא ייחת מפני רואי שחורות המתנבאים על "נפילת המבצר". כך בעבר, כך כעת, וכך לעתיד לבוא.</w:t>
      </w:r>
    </w:p>
    <w:p w:rsidR="00FC4A43" w:rsidRPr="00FC4A43" w:rsidRDefault="00FC4A43">
      <w:pPr>
        <w:pStyle w:val="BODYVERDICT"/>
        <w:rPr>
          <w:rFonts w:cs="Miriam"/>
          <w:sz w:val="24"/>
          <w:szCs w:val="24"/>
          <w:highlight w:val="yellow"/>
          <w:u w:val="single"/>
          <w:rtl/>
        </w:rPr>
      </w:pPr>
    </w:p>
    <w:p w:rsidR="00773CDB" w:rsidRDefault="00FC4A43" w:rsidP="00773CDB">
      <w:pPr>
        <w:pStyle w:val="BODYVERDICT"/>
        <w:rPr>
          <w:rFonts w:ascii="Century" w:hAnsi="Century"/>
          <w:rtl/>
        </w:rPr>
      </w:pP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p>
    <w:tbl>
      <w:tblPr>
        <w:bidiVisual/>
        <w:tblW w:w="8363" w:type="dxa"/>
        <w:tblLook w:val="01E0" w:firstRow="1" w:lastRow="1" w:firstColumn="1" w:lastColumn="1" w:noHBand="0" w:noVBand="0"/>
      </w:tblPr>
      <w:tblGrid>
        <w:gridCol w:w="2786"/>
        <w:gridCol w:w="2787"/>
        <w:gridCol w:w="2790"/>
      </w:tblGrid>
      <w:tr w:rsidR="00773CDB" w:rsidRPr="000A1340" w:rsidTr="008835E9">
        <w:tc>
          <w:tcPr>
            <w:tcW w:w="2842" w:type="dxa"/>
            <w:hideMark/>
          </w:tcPr>
          <w:p w:rsidR="00773CDB" w:rsidRPr="000A1340" w:rsidRDefault="00773CDB" w:rsidP="008835E9">
            <w:pPr>
              <w:pStyle w:val="Ruller40"/>
            </w:pPr>
          </w:p>
        </w:tc>
        <w:tc>
          <w:tcPr>
            <w:tcW w:w="2843" w:type="dxa"/>
            <w:hideMark/>
          </w:tcPr>
          <w:p w:rsidR="00773CDB" w:rsidRPr="000A1340" w:rsidRDefault="00773CDB" w:rsidP="008835E9">
            <w:pPr>
              <w:pStyle w:val="Ruller40"/>
              <w:jc w:val="center"/>
              <w:rPr>
                <w:rtl/>
              </w:rPr>
            </w:pPr>
          </w:p>
        </w:tc>
        <w:tc>
          <w:tcPr>
            <w:tcW w:w="2843" w:type="dxa"/>
            <w:hideMark/>
          </w:tcPr>
          <w:p w:rsidR="00773CDB" w:rsidRPr="000A1340" w:rsidRDefault="00773CDB" w:rsidP="008835E9">
            <w:pPr>
              <w:pStyle w:val="Ruller40"/>
              <w:jc w:val="center"/>
              <w:rPr>
                <w:rtl/>
              </w:rPr>
            </w:pPr>
            <w:r w:rsidRPr="000A1340">
              <w:rPr>
                <w:rtl/>
              </w:rPr>
              <w:t xml:space="preserve">ש ו פ ט </w:t>
            </w:r>
          </w:p>
        </w:tc>
      </w:tr>
    </w:tbl>
    <w:p w:rsidR="00773CDB" w:rsidRDefault="00773CDB" w:rsidP="00773CDB">
      <w:pPr>
        <w:pStyle w:val="Ruller40"/>
        <w:rPr>
          <w:rtl/>
        </w:rPr>
      </w:pPr>
    </w:p>
    <w:p w:rsidR="00FC4A43" w:rsidRPr="00503A3E" w:rsidRDefault="00FC4A43" w:rsidP="00FC4A43">
      <w:pPr>
        <w:pStyle w:val="BODYVERDICT"/>
        <w:rPr>
          <w:rFonts w:cs="Miriam"/>
          <w:sz w:val="24"/>
          <w:szCs w:val="24"/>
          <w:u w:val="single"/>
          <w:rtl/>
        </w:rPr>
      </w:pPr>
      <w:r>
        <w:rPr>
          <w:rFonts w:cs="Miriam"/>
          <w:sz w:val="24"/>
          <w:szCs w:val="24"/>
          <w:u w:val="single"/>
          <w:rtl/>
        </w:rPr>
        <w:t>השופט ד' מינץ:</w:t>
      </w:r>
    </w:p>
    <w:p w:rsidR="00FC4A43" w:rsidRDefault="00FC4A43" w:rsidP="00FC4A43">
      <w:pPr>
        <w:pStyle w:val="Ruller40"/>
        <w:rPr>
          <w:rtl/>
        </w:rPr>
      </w:pPr>
    </w:p>
    <w:p w:rsidR="00FC4A43" w:rsidRDefault="00FC4A43" w:rsidP="00FC4A43">
      <w:pPr>
        <w:pStyle w:val="Ruller40"/>
        <w:rPr>
          <w:rFonts w:ascii="Century" w:hAnsi="Century"/>
          <w:rtl/>
        </w:rPr>
      </w:pPr>
      <w:r>
        <w:rPr>
          <w:rtl/>
        </w:rPr>
        <w:tab/>
      </w:r>
      <w:r>
        <w:rPr>
          <w:rFonts w:hint="cs"/>
          <w:rtl/>
        </w:rPr>
        <w:t xml:space="preserve">כאמור בתמצית הנימוקים לפסק הדין שניתן ביום 6.5.2020, מצטרף אני לתוצאה אליה הגיעה חברתי, הנשיאה </w:t>
      </w:r>
      <w:r>
        <w:rPr>
          <w:rFonts w:ascii="Century" w:hAnsi="Century" w:cs="Miriam" w:hint="cs"/>
          <w:b/>
          <w:spacing w:val="0"/>
          <w:szCs w:val="24"/>
          <w:rtl/>
        </w:rPr>
        <w:t>א' חיות</w:t>
      </w:r>
      <w:r>
        <w:rPr>
          <w:rFonts w:ascii="Century" w:hAnsi="Century" w:hint="cs"/>
          <w:rtl/>
        </w:rPr>
        <w:t>, הן בסוגיית הטלת הרכבת הממשלה על חבר כנסת הנאשם בפלילים והן לגבי ההסתייגויות בעניין ההסכם הקואליציוני שהובא לפתחנו. באשר לשאלת התערבותנו בהסכם הקואליציוני בין סיעת הליכוד לבין סיעת כחול-לבן, אינני רואה מקום להוסיף על הדברים שנכתבו בתמצית פסק הדין. לצד זאת, מצאתי להעיר הערות מספר באשר לשאלת כשירותו של חבר כנסת שהוגש נגדו כתב אישום להרכיב ממשלה.</w:t>
      </w:r>
    </w:p>
    <w:p w:rsidR="00FC4A43" w:rsidRDefault="00FC4A43" w:rsidP="00FC4A43">
      <w:pPr>
        <w:pStyle w:val="Ruller40"/>
        <w:rPr>
          <w:rFonts w:ascii="Century" w:hAnsi="Century"/>
          <w:rtl/>
        </w:rPr>
      </w:pPr>
    </w:p>
    <w:p w:rsidR="00FC4A43" w:rsidRDefault="00FC4A43" w:rsidP="00FC4A43">
      <w:pPr>
        <w:pStyle w:val="Ruller4"/>
        <w:rPr>
          <w:rFonts w:ascii="FrankRuehl" w:hAnsi="FrankRuehl"/>
          <w:rtl/>
        </w:rPr>
      </w:pPr>
      <w:r>
        <w:rPr>
          <w:rFonts w:hint="cs"/>
          <w:rtl/>
        </w:rPr>
        <w:t xml:space="preserve">בניגוד לעמדת העותרים אשר גרסו כי עלינו לבחון את סבירות ההחלטה להטיל את הרכבת הממשלה על חבר הכנסת בנימין נתניהו, סבורני כי הסוגיה הניצבת לפנינו היא אך ורק שאלה פרשנית חוקתית של חוק-יסוד: הממשלה. אבהיר. </w:t>
      </w:r>
    </w:p>
    <w:p w:rsidR="00FC4A43" w:rsidRPr="005B71BD" w:rsidRDefault="00FC4A43" w:rsidP="00FC4A43">
      <w:pPr>
        <w:pStyle w:val="Ruller40"/>
      </w:pPr>
    </w:p>
    <w:p w:rsidR="00FC4A43" w:rsidRPr="009B5DFA" w:rsidRDefault="00FC4A43" w:rsidP="00FC4A43">
      <w:pPr>
        <w:pStyle w:val="Ruller4"/>
        <w:rPr>
          <w:rFonts w:ascii="FrankRuehl" w:hAnsi="FrankRuehl"/>
          <w:rtl/>
        </w:rPr>
      </w:pPr>
      <w:r>
        <w:rPr>
          <w:rFonts w:hint="cs"/>
          <w:rtl/>
        </w:rPr>
        <w:t xml:space="preserve">ככל טקסט משפטי, גם טקסט חוקתי מצריך פרשנות. תורת הפרשנות של טקסטים חוקתיים אינה שונה משיטת הפרשנות הכללית הנהוגה במשפטנו, כאשר ככל פרשנות, עליה להיות מעוגנת בטקסט אותו מפרשים (אהרן ברק </w:t>
      </w:r>
      <w:r w:rsidRPr="00700AFA">
        <w:rPr>
          <w:rFonts w:ascii="Century" w:hAnsi="Century" w:cs="Miriam" w:hint="cs"/>
          <w:b/>
          <w:spacing w:val="0"/>
          <w:sz w:val="22"/>
          <w:szCs w:val="24"/>
          <w:rtl/>
        </w:rPr>
        <w:t xml:space="preserve">פרשנות במשפט </w:t>
      </w:r>
      <w:r w:rsidRPr="00700AFA">
        <w:rPr>
          <w:rFonts w:ascii="Century" w:hAnsi="Century" w:cs="Miriam"/>
          <w:b/>
          <w:spacing w:val="0"/>
          <w:sz w:val="22"/>
          <w:szCs w:val="24"/>
          <w:rtl/>
        </w:rPr>
        <w:t>–</w:t>
      </w:r>
      <w:r w:rsidRPr="00700AFA">
        <w:rPr>
          <w:rFonts w:ascii="Century" w:hAnsi="Century" w:cs="Miriam" w:hint="cs"/>
          <w:b/>
          <w:spacing w:val="0"/>
          <w:sz w:val="22"/>
          <w:szCs w:val="24"/>
          <w:rtl/>
        </w:rPr>
        <w:t xml:space="preserve"> פרשנות חוקתית</w:t>
      </w:r>
      <w:r>
        <w:rPr>
          <w:rFonts w:hint="cs"/>
          <w:rtl/>
        </w:rPr>
        <w:t xml:space="preserve"> 83 (1994) (להלן: </w:t>
      </w:r>
      <w:r w:rsidRPr="00AF4CCE">
        <w:rPr>
          <w:rFonts w:ascii="Century" w:hAnsi="Century" w:cs="Miriam" w:hint="cs"/>
          <w:b/>
          <w:spacing w:val="0"/>
          <w:sz w:val="22"/>
          <w:szCs w:val="24"/>
          <w:rtl/>
        </w:rPr>
        <w:t>ברק,</w:t>
      </w:r>
      <w:r w:rsidRPr="00AF4CCE">
        <w:rPr>
          <w:rFonts w:hint="cs"/>
          <w:rtl/>
        </w:rPr>
        <w:t xml:space="preserve"> </w:t>
      </w:r>
      <w:r w:rsidRPr="00700AFA">
        <w:rPr>
          <w:rFonts w:ascii="Century" w:hAnsi="Century" w:cs="Miriam" w:hint="cs"/>
          <w:b/>
          <w:spacing w:val="0"/>
          <w:sz w:val="22"/>
          <w:szCs w:val="24"/>
          <w:rtl/>
        </w:rPr>
        <w:t>פרשנות חוקתית</w:t>
      </w:r>
      <w:r>
        <w:rPr>
          <w:rFonts w:hint="cs"/>
          <w:rtl/>
        </w:rPr>
        <w:t>)). אולם פרשנותם של חוקי יסוד צריכה להתבצע בהתחשב באופיים המיוחד. יהא זה חוק-יסוד הקובע עקרונות משטריים או יהא זה חוק-יסוד הקובע את היקפן של זכויות אדם ואזרח. כך, "טקסט חוקתי העוסק במסגרות המוסדיות של רשויות השלטון יש לפרשו בהתחשב באופי של המוסד השלטוני" (</w:t>
      </w:r>
      <w:r w:rsidRPr="00AF4CCE">
        <w:rPr>
          <w:rFonts w:ascii="Century" w:hAnsi="Century" w:cs="Miriam" w:hint="cs"/>
          <w:b/>
          <w:spacing w:val="0"/>
          <w:sz w:val="22"/>
          <w:szCs w:val="24"/>
          <w:rtl/>
        </w:rPr>
        <w:t>ברק,</w:t>
      </w:r>
      <w:r>
        <w:rPr>
          <w:rFonts w:hint="cs"/>
          <w:rtl/>
        </w:rPr>
        <w:t xml:space="preserve"> </w:t>
      </w:r>
      <w:r w:rsidRPr="00B54F0E">
        <w:rPr>
          <w:rFonts w:ascii="Century" w:hAnsi="Century" w:cs="Miriam" w:hint="eastAsia"/>
          <w:b/>
          <w:spacing w:val="0"/>
          <w:sz w:val="22"/>
          <w:szCs w:val="24"/>
          <w:rtl/>
        </w:rPr>
        <w:t>פרשנות</w:t>
      </w:r>
      <w:r w:rsidRPr="00B54F0E">
        <w:rPr>
          <w:rFonts w:ascii="Century" w:hAnsi="Century" w:cs="Miriam"/>
          <w:b/>
          <w:spacing w:val="0"/>
          <w:sz w:val="22"/>
          <w:szCs w:val="24"/>
          <w:rtl/>
        </w:rPr>
        <w:t xml:space="preserve"> </w:t>
      </w:r>
      <w:r w:rsidRPr="00B54F0E">
        <w:rPr>
          <w:rFonts w:ascii="Century" w:hAnsi="Century" w:cs="Miriam" w:hint="eastAsia"/>
          <w:b/>
          <w:spacing w:val="0"/>
          <w:sz w:val="22"/>
          <w:szCs w:val="24"/>
          <w:rtl/>
        </w:rPr>
        <w:t>חוקתית</w:t>
      </w:r>
      <w:r>
        <w:rPr>
          <w:rFonts w:hint="cs"/>
          <w:rtl/>
        </w:rPr>
        <w:t xml:space="preserve">, עמ' 83). תפקידו של השופט-הפרשן, בבואו  לפרש חוק קונסטיטוציוני, הוא להביא את החוק לידי הרמוניה עם יסודות המשטר החוקתי הקיים במדינה (ראו: בג"ץ 428/86 </w:t>
      </w:r>
      <w:r w:rsidRPr="009528E6">
        <w:rPr>
          <w:rFonts w:ascii="Century" w:hAnsi="Century" w:cs="Miriam" w:hint="cs"/>
          <w:b/>
          <w:spacing w:val="0"/>
          <w:sz w:val="22"/>
          <w:szCs w:val="24"/>
          <w:rtl/>
        </w:rPr>
        <w:t>ברזילי נ' ממשלת ישראל</w:t>
      </w:r>
      <w:r>
        <w:rPr>
          <w:rFonts w:ascii="FrankRuehl" w:hAnsi="FrankRuehl" w:hint="cs"/>
          <w:rtl/>
        </w:rPr>
        <w:t xml:space="preserve">, פ"ד מ(3) 505, 596 (1986)). </w:t>
      </w:r>
      <w:r>
        <w:rPr>
          <w:rFonts w:hint="cs"/>
          <w:rtl/>
        </w:rPr>
        <w:t xml:space="preserve">כמו כן, בהתאם להלכה הפסוקה, פרשנות חוקתית צריכה להיעשות מנקודת מבט "כוללת ורחבה". וכפי שהגדיר זאת השופט (כתוארו אז) </w:t>
      </w:r>
      <w:r>
        <w:rPr>
          <w:rFonts w:ascii="Century" w:hAnsi="Century" w:cs="Miriam" w:hint="cs"/>
          <w:b/>
          <w:spacing w:val="0"/>
          <w:sz w:val="22"/>
          <w:szCs w:val="24"/>
          <w:rtl/>
        </w:rPr>
        <w:t xml:space="preserve">א' </w:t>
      </w:r>
      <w:r w:rsidRPr="00B54F0E">
        <w:rPr>
          <w:rFonts w:ascii="Century" w:hAnsi="Century" w:cs="Miriam" w:hint="eastAsia"/>
          <w:b/>
          <w:spacing w:val="0"/>
          <w:sz w:val="22"/>
          <w:szCs w:val="24"/>
          <w:rtl/>
        </w:rPr>
        <w:t>ברק</w:t>
      </w:r>
      <w:r>
        <w:rPr>
          <w:rFonts w:hint="cs"/>
          <w:rtl/>
        </w:rPr>
        <w:t xml:space="preserve"> בעניין ע"ב 2/84 </w:t>
      </w:r>
      <w:r w:rsidRPr="009360EA">
        <w:rPr>
          <w:rFonts w:ascii="Century" w:hAnsi="Century" w:cs="Miriam" w:hint="cs"/>
          <w:b/>
          <w:spacing w:val="0"/>
          <w:szCs w:val="24"/>
          <w:rtl/>
        </w:rPr>
        <w:t>ניימן נ' יו"ר ועדת הבחירות המרכזית לכנסת האחת-עשרה</w:t>
      </w:r>
      <w:r>
        <w:rPr>
          <w:rFonts w:ascii="FrankRuehl" w:hAnsi="FrankRuehl" w:hint="cs"/>
          <w:rtl/>
        </w:rPr>
        <w:t>, פ"ד לט(2) 225 (1985)</w:t>
      </w:r>
      <w:r>
        <w:rPr>
          <w:rFonts w:hint="cs"/>
          <w:rtl/>
        </w:rPr>
        <w:t>:</w:t>
      </w:r>
    </w:p>
    <w:p w:rsidR="00FC4A43" w:rsidRDefault="00FC4A43" w:rsidP="00FC4A43">
      <w:pPr>
        <w:pStyle w:val="Ruller40"/>
        <w:rPr>
          <w:rtl/>
        </w:rPr>
      </w:pPr>
    </w:p>
    <w:p w:rsidR="00FC4A43" w:rsidRDefault="00FC4A43" w:rsidP="00FC4A43">
      <w:pPr>
        <w:pStyle w:val="Ruller40"/>
        <w:spacing w:line="240" w:lineRule="auto"/>
        <w:ind w:left="1644" w:right="1276"/>
        <w:rPr>
          <w:rFonts w:ascii="FrankRuehl" w:hAnsi="FrankRuehl"/>
          <w:rtl/>
        </w:rPr>
      </w:pPr>
      <w:r>
        <w:rPr>
          <w:rFonts w:hint="cs"/>
          <w:rtl/>
        </w:rPr>
        <w:t>"הוראות יסוד יש לפרש מתוך 'מבט רחב' ... ומתוך הבנה, כי עניין לנו בהוראה הקובעת אורחות חיים ... עניין לנו בניסיון אנושי, החייב להתאים עצמו למציאות חיים משתנה. אם אמרנו על חוק רגיל, כי אין הוא מבצר הנכבש באמצעות מילון אלא עטיפה לרעיון חקיקתי חי ... הרי על אחת כמה וכמה שגישה זו צריכה להדריכנו לעניין פירושן של הוראות בעלות אופי חוקתי" (</w:t>
      </w:r>
      <w:r>
        <w:rPr>
          <w:rFonts w:ascii="FrankRuehl" w:hAnsi="FrankRuehl" w:hint="cs"/>
          <w:rtl/>
        </w:rPr>
        <w:t>עמ' 306).</w:t>
      </w:r>
    </w:p>
    <w:p w:rsidR="00FC4A43" w:rsidRDefault="00FC4A43" w:rsidP="00FC4A43">
      <w:pPr>
        <w:pStyle w:val="Ruller4"/>
        <w:numPr>
          <w:ilvl w:val="0"/>
          <w:numId w:val="0"/>
        </w:numPr>
        <w:rPr>
          <w:rtl/>
        </w:rPr>
      </w:pPr>
      <w:r>
        <w:rPr>
          <w:rtl/>
        </w:rPr>
        <w:tab/>
      </w:r>
    </w:p>
    <w:p w:rsidR="00FC4A43" w:rsidRDefault="00FC4A43" w:rsidP="00FC4A43">
      <w:pPr>
        <w:pStyle w:val="Ruller4"/>
        <w:numPr>
          <w:ilvl w:val="0"/>
          <w:numId w:val="0"/>
        </w:numPr>
        <w:rPr>
          <w:rtl/>
        </w:rPr>
      </w:pPr>
      <w:r>
        <w:rPr>
          <w:rtl/>
        </w:rPr>
        <w:tab/>
      </w:r>
      <w:r>
        <w:rPr>
          <w:rFonts w:hint="cs"/>
          <w:rtl/>
        </w:rPr>
        <w:t xml:space="preserve">ודוק, נקודת מבט רחבה אין משמעה בהכרח פרשנות מרחיבה. יש שנקודת המבט הרחבה תוביל דווקא לפרשנות מצמצמת (ראו: בג"ץ 7510/19 </w:t>
      </w:r>
      <w:r w:rsidRPr="00867246">
        <w:rPr>
          <w:rFonts w:ascii="Century" w:hAnsi="Century" w:cs="Miriam" w:hint="cs"/>
          <w:b/>
          <w:spacing w:val="0"/>
          <w:szCs w:val="24"/>
          <w:rtl/>
        </w:rPr>
        <w:t>עו"ד יוסי אור-הכהן נ' ראש הממשלה</w:t>
      </w:r>
      <w:r>
        <w:rPr>
          <w:rFonts w:hint="cs"/>
          <w:rtl/>
        </w:rPr>
        <w:t xml:space="preserve">, פסקה 11 (9.1.2020); </w:t>
      </w:r>
      <w:r w:rsidRPr="004E06EC">
        <w:rPr>
          <w:rFonts w:ascii="Century" w:hAnsi="Century" w:cs="Miriam" w:hint="cs"/>
          <w:b/>
          <w:spacing w:val="0"/>
          <w:sz w:val="22"/>
          <w:szCs w:val="24"/>
          <w:rtl/>
        </w:rPr>
        <w:t>ברק,</w:t>
      </w:r>
      <w:r>
        <w:rPr>
          <w:rFonts w:hint="cs"/>
          <w:rtl/>
        </w:rPr>
        <w:t xml:space="preserve"> </w:t>
      </w:r>
      <w:r w:rsidRPr="00B54F0E">
        <w:rPr>
          <w:rFonts w:ascii="Century" w:hAnsi="Century" w:cs="Miriam" w:hint="eastAsia"/>
          <w:b/>
          <w:spacing w:val="0"/>
          <w:sz w:val="22"/>
          <w:szCs w:val="24"/>
          <w:rtl/>
        </w:rPr>
        <w:t>פרשנות</w:t>
      </w:r>
      <w:r w:rsidRPr="00B54F0E">
        <w:rPr>
          <w:rFonts w:ascii="Century" w:hAnsi="Century" w:cs="Miriam"/>
          <w:b/>
          <w:spacing w:val="0"/>
          <w:sz w:val="22"/>
          <w:szCs w:val="24"/>
          <w:rtl/>
        </w:rPr>
        <w:t xml:space="preserve"> </w:t>
      </w:r>
      <w:r>
        <w:rPr>
          <w:rFonts w:ascii="Century" w:hAnsi="Century" w:cs="Miriam" w:hint="cs"/>
          <w:b/>
          <w:spacing w:val="0"/>
          <w:sz w:val="22"/>
          <w:szCs w:val="24"/>
          <w:rtl/>
        </w:rPr>
        <w:t>חוקתית</w:t>
      </w:r>
      <w:r>
        <w:rPr>
          <w:rFonts w:hint="cs"/>
          <w:rtl/>
        </w:rPr>
        <w:t xml:space="preserve">, עמ' 86). הכל בהתאם לנסיבות העניין (ראו גם: ד"נ 13/60 </w:t>
      </w:r>
      <w:r w:rsidRPr="009360EA">
        <w:rPr>
          <w:rFonts w:ascii="Century" w:hAnsi="Century" w:cs="Miriam" w:hint="cs"/>
          <w:b/>
          <w:spacing w:val="0"/>
          <w:sz w:val="22"/>
          <w:szCs w:val="24"/>
          <w:rtl/>
        </w:rPr>
        <w:t>היועץ המשפטי לממשלה נ' מתאנה</w:t>
      </w:r>
      <w:r>
        <w:rPr>
          <w:rFonts w:hint="cs"/>
          <w:rtl/>
        </w:rPr>
        <w:t xml:space="preserve">, פ"ד טז 430, 443-442 (1962); בג"ץ 2481/93 </w:t>
      </w:r>
      <w:r w:rsidRPr="009360EA">
        <w:rPr>
          <w:rFonts w:ascii="Century" w:hAnsi="Century" w:cs="Miriam" w:hint="cs"/>
          <w:b/>
          <w:spacing w:val="0"/>
          <w:sz w:val="22"/>
          <w:szCs w:val="24"/>
          <w:rtl/>
        </w:rPr>
        <w:t>דיין נ' מפקד מחוז ירושלים</w:t>
      </w:r>
      <w:r>
        <w:rPr>
          <w:rFonts w:hint="cs"/>
          <w:rtl/>
        </w:rPr>
        <w:t xml:space="preserve">, פ"ד מח(2) 456, 470 (1994); בג"ץ 6427/02 </w:t>
      </w:r>
      <w:r w:rsidRPr="009360EA">
        <w:rPr>
          <w:rFonts w:ascii="Century" w:hAnsi="Century" w:cs="Miriam" w:hint="cs"/>
          <w:b/>
          <w:spacing w:val="0"/>
          <w:sz w:val="22"/>
          <w:szCs w:val="24"/>
          <w:rtl/>
        </w:rPr>
        <w:t xml:space="preserve">התנועה </w:t>
      </w:r>
      <w:r>
        <w:rPr>
          <w:rFonts w:ascii="Century" w:hAnsi="Century" w:cs="Miriam" w:hint="cs"/>
          <w:b/>
          <w:spacing w:val="0"/>
          <w:sz w:val="22"/>
          <w:szCs w:val="24"/>
          <w:rtl/>
        </w:rPr>
        <w:t>ל</w:t>
      </w:r>
      <w:r w:rsidRPr="009360EA">
        <w:rPr>
          <w:rFonts w:ascii="Century" w:hAnsi="Century" w:cs="Miriam" w:hint="cs"/>
          <w:b/>
          <w:spacing w:val="0"/>
          <w:sz w:val="22"/>
          <w:szCs w:val="24"/>
          <w:rtl/>
        </w:rPr>
        <w:t>איכות השלטון</w:t>
      </w:r>
      <w:r>
        <w:rPr>
          <w:rFonts w:ascii="Century" w:hAnsi="Century" w:cs="Miriam" w:hint="cs"/>
          <w:b/>
          <w:spacing w:val="0"/>
          <w:sz w:val="22"/>
          <w:szCs w:val="24"/>
          <w:rtl/>
        </w:rPr>
        <w:t xml:space="preserve"> בישראל</w:t>
      </w:r>
      <w:r w:rsidRPr="009360EA">
        <w:rPr>
          <w:rFonts w:ascii="Century" w:hAnsi="Century" w:cs="Miriam" w:hint="cs"/>
          <w:b/>
          <w:spacing w:val="0"/>
          <w:sz w:val="22"/>
          <w:szCs w:val="24"/>
          <w:rtl/>
        </w:rPr>
        <w:t xml:space="preserve"> נ' </w:t>
      </w:r>
      <w:r>
        <w:rPr>
          <w:rFonts w:ascii="Century" w:hAnsi="Century" w:cs="Miriam" w:hint="cs"/>
          <w:b/>
          <w:spacing w:val="0"/>
          <w:sz w:val="22"/>
          <w:szCs w:val="24"/>
          <w:rtl/>
        </w:rPr>
        <w:t>ה</w:t>
      </w:r>
      <w:r w:rsidRPr="009360EA">
        <w:rPr>
          <w:rFonts w:ascii="Century" w:hAnsi="Century" w:cs="Miriam" w:hint="cs"/>
          <w:b/>
          <w:spacing w:val="0"/>
          <w:sz w:val="22"/>
          <w:szCs w:val="24"/>
          <w:rtl/>
        </w:rPr>
        <w:t>כנסת</w:t>
      </w:r>
      <w:r>
        <w:rPr>
          <w:rFonts w:hint="cs"/>
          <w:rtl/>
        </w:rPr>
        <w:t>, פ"ד סא(1) 619, 674 (2006)).</w:t>
      </w:r>
    </w:p>
    <w:p w:rsidR="00FC4A43" w:rsidRDefault="00FC4A43" w:rsidP="00FC4A43">
      <w:pPr>
        <w:pStyle w:val="Ruller4"/>
        <w:numPr>
          <w:ilvl w:val="0"/>
          <w:numId w:val="0"/>
        </w:numPr>
        <w:rPr>
          <w:rtl/>
        </w:rPr>
      </w:pPr>
    </w:p>
    <w:p w:rsidR="00FC4A43" w:rsidRDefault="00FC4A43" w:rsidP="00FC4A43">
      <w:pPr>
        <w:pStyle w:val="Ruller4"/>
        <w:rPr>
          <w:rtl/>
        </w:rPr>
      </w:pPr>
      <w:r>
        <w:rPr>
          <w:rFonts w:hint="cs"/>
          <w:rtl/>
        </w:rPr>
        <w:t xml:space="preserve">מכל מקום, נקודת המוצא לפרשנותו של הסדר חוקתי היא כמובן הלשון, ובגדרה יש לבחור את האפשרות הלשונית המגשימה את תכלית הנורמה בצורה הטובה ביותר. בתחום המשטרי, ללשון הטקסט החוקתי מעמד רם בהליך הפרשני. על כן, שומה על הפרשן ליתן משקל רב ללשונו של חוק היסוד הרלוונטי ולדרך המסוימת שבה עוצב ההסדר בידי הכנסת בכובעה כרשות המכוננת. אופן פירושן של ההוראות החוקתיות האמורות צריך להבטיח שמירה על תכונותיהם של כללי המשחק המשטריים </w:t>
      </w:r>
      <w:r>
        <w:rPr>
          <w:rtl/>
        </w:rPr>
        <w:t>–</w:t>
      </w:r>
      <w:r>
        <w:rPr>
          <w:rFonts w:hint="cs"/>
          <w:rtl/>
        </w:rPr>
        <w:t xml:space="preserve"> </w:t>
      </w:r>
      <w:r w:rsidRPr="007E79F7">
        <w:rPr>
          <w:rFonts w:ascii="Century" w:hAnsi="Century" w:cs="Miriam" w:hint="cs"/>
          <w:b/>
          <w:spacing w:val="0"/>
          <w:szCs w:val="24"/>
          <w:rtl/>
        </w:rPr>
        <w:t>יציבות</w:t>
      </w:r>
      <w:r>
        <w:rPr>
          <w:rFonts w:hint="cs"/>
          <w:rtl/>
        </w:rPr>
        <w:t xml:space="preserve">, </w:t>
      </w:r>
      <w:r w:rsidRPr="007E79F7">
        <w:rPr>
          <w:rFonts w:ascii="Century" w:hAnsi="Century" w:cs="Miriam" w:hint="cs"/>
          <w:b/>
          <w:spacing w:val="0"/>
          <w:szCs w:val="24"/>
          <w:rtl/>
        </w:rPr>
        <w:t>בהירות</w:t>
      </w:r>
      <w:r>
        <w:rPr>
          <w:rFonts w:hint="cs"/>
          <w:rtl/>
        </w:rPr>
        <w:t xml:space="preserve"> </w:t>
      </w:r>
      <w:r w:rsidRPr="007E79F7">
        <w:rPr>
          <w:rFonts w:ascii="Century" w:hAnsi="Century" w:cs="Miriam" w:hint="cs"/>
          <w:b/>
          <w:spacing w:val="0"/>
          <w:szCs w:val="24"/>
          <w:rtl/>
        </w:rPr>
        <w:t>ו</w:t>
      </w:r>
      <w:r>
        <w:rPr>
          <w:rFonts w:ascii="Century" w:hAnsi="Century" w:cs="Miriam" w:hint="cs"/>
          <w:b/>
          <w:spacing w:val="0"/>
          <w:szCs w:val="24"/>
          <w:rtl/>
        </w:rPr>
        <w:t>ו</w:t>
      </w:r>
      <w:r w:rsidRPr="007E79F7">
        <w:rPr>
          <w:rFonts w:ascii="Century" w:hAnsi="Century" w:cs="Miriam" w:hint="cs"/>
          <w:b/>
          <w:spacing w:val="0"/>
          <w:szCs w:val="24"/>
          <w:rtl/>
        </w:rPr>
        <w:t>דאות</w:t>
      </w:r>
      <w:r>
        <w:rPr>
          <w:rFonts w:hint="cs"/>
          <w:rtl/>
        </w:rPr>
        <w:t xml:space="preserve">. בהתאם לקנה המידה הפרשני האמור, בענייננו, לעמדתי, בחינת לשון מכלול ההוראות החוקתיות הרלוונטיות, ובפרט הסעיפים בחוק-יסוד: הממשלה מובילה למסקנה אחת ויחידה </w:t>
      </w:r>
      <w:r>
        <w:rPr>
          <w:rtl/>
        </w:rPr>
        <w:t>–</w:t>
      </w:r>
      <w:r>
        <w:rPr>
          <w:rFonts w:hint="cs"/>
          <w:rtl/>
        </w:rPr>
        <w:t xml:space="preserve"> המחוקק-המכונן </w:t>
      </w:r>
      <w:r w:rsidRPr="007E79F7">
        <w:rPr>
          <w:rFonts w:ascii="Century" w:hAnsi="Century" w:cs="Miriam" w:hint="cs"/>
          <w:b/>
          <w:spacing w:val="0"/>
          <w:szCs w:val="24"/>
          <w:rtl/>
        </w:rPr>
        <w:t>בחר</w:t>
      </w:r>
      <w:r>
        <w:rPr>
          <w:rFonts w:hint="cs"/>
          <w:rtl/>
        </w:rPr>
        <w:t xml:space="preserve"> שלא לקבוע כל הגבלה על האפשרות להטיל את מלאכת הרכבת הממשלה על חבר כנסת הנאשם בפלילים. אבהיר.</w:t>
      </w:r>
    </w:p>
    <w:p w:rsidR="00FC4A43" w:rsidRDefault="00FC4A43" w:rsidP="00FC4A43">
      <w:pPr>
        <w:pStyle w:val="Ruller40"/>
        <w:rPr>
          <w:rtl/>
        </w:rPr>
      </w:pPr>
    </w:p>
    <w:p w:rsidR="00FC4A43" w:rsidRDefault="00FC4A43" w:rsidP="00FC4A43">
      <w:pPr>
        <w:pStyle w:val="Ruller4"/>
        <w:rPr>
          <w:rtl/>
        </w:rPr>
      </w:pPr>
      <w:r>
        <w:rPr>
          <w:rFonts w:hint="cs"/>
          <w:rtl/>
        </w:rPr>
        <w:t xml:space="preserve">מהוראת סעיף 5(א) לחוק-יסוד: הממשלה, הקובעת כי "הממשלה מורכבת מראש הממשלה ומשרים אחרים", אנו למדים כי ראש הממשלה הוא "שר". אולם, ראש הממשלה אינו שר ככל השרים. הוא בבחינת "ראשון בין שווים" (בג"ץ 5261/04 </w:t>
      </w:r>
      <w:r w:rsidRPr="00023590">
        <w:rPr>
          <w:rFonts w:ascii="Century" w:hAnsi="Century" w:cs="Miriam" w:hint="cs"/>
          <w:b/>
          <w:spacing w:val="0"/>
          <w:sz w:val="22"/>
          <w:szCs w:val="24"/>
          <w:rtl/>
        </w:rPr>
        <w:t>פוקס נ' ראש-ממשלת ישראל</w:t>
      </w:r>
      <w:r w:rsidRPr="00AF4CCE">
        <w:rPr>
          <w:rFonts w:ascii="Century" w:hAnsi="Century" w:cs="Miriam" w:hint="cs"/>
          <w:b/>
          <w:spacing w:val="0"/>
          <w:sz w:val="22"/>
          <w:szCs w:val="24"/>
          <w:rtl/>
        </w:rPr>
        <w:t>,</w:t>
      </w:r>
      <w:r w:rsidRPr="00AF4CCE">
        <w:rPr>
          <w:rFonts w:hint="cs"/>
          <w:rtl/>
        </w:rPr>
        <w:t xml:space="preserve"> </w:t>
      </w:r>
      <w:r w:rsidRPr="00AF4CCE">
        <w:rPr>
          <w:rFonts w:ascii="Century" w:hAnsi="Century" w:cs="Miriam" w:hint="cs"/>
          <w:b/>
          <w:spacing w:val="0"/>
          <w:sz w:val="22"/>
          <w:szCs w:val="24"/>
          <w:rtl/>
        </w:rPr>
        <w:t>מר אריאל שרון</w:t>
      </w:r>
      <w:r>
        <w:rPr>
          <w:rFonts w:hint="cs"/>
          <w:rtl/>
        </w:rPr>
        <w:t xml:space="preserve">, פ"ד נט(2) 446, 461 (2004); בג"ץ 3002/09 </w:t>
      </w:r>
      <w:r w:rsidRPr="00EC77D7">
        <w:rPr>
          <w:rFonts w:ascii="Century" w:hAnsi="Century" w:cs="Miriam" w:hint="cs"/>
          <w:b/>
          <w:spacing w:val="0"/>
          <w:sz w:val="22"/>
          <w:szCs w:val="24"/>
          <w:rtl/>
        </w:rPr>
        <w:t xml:space="preserve">ההסתדרות הרפואית בישראל נ' ראש ממשלת ישראל, </w:t>
      </w:r>
      <w:r>
        <w:rPr>
          <w:rFonts w:ascii="Century" w:hAnsi="Century" w:cs="Miriam" w:hint="cs"/>
          <w:b/>
          <w:spacing w:val="0"/>
          <w:sz w:val="22"/>
          <w:szCs w:val="24"/>
          <w:rtl/>
        </w:rPr>
        <w:t xml:space="preserve">מר </w:t>
      </w:r>
      <w:r w:rsidRPr="00EC77D7">
        <w:rPr>
          <w:rFonts w:ascii="Century" w:hAnsi="Century" w:cs="Miriam" w:hint="cs"/>
          <w:b/>
          <w:spacing w:val="0"/>
          <w:sz w:val="22"/>
          <w:szCs w:val="24"/>
          <w:rtl/>
        </w:rPr>
        <w:t>בנימין נתניהו</w:t>
      </w:r>
      <w:r>
        <w:rPr>
          <w:rFonts w:hint="cs"/>
          <w:rtl/>
        </w:rPr>
        <w:t>, פסקה 2 לחוות דעתה של הנשיאה</w:t>
      </w:r>
      <w:r w:rsidRPr="00910226">
        <w:rPr>
          <w:rFonts w:ascii="Century" w:hAnsi="Century" w:cs="Miriam" w:hint="cs"/>
          <w:b/>
          <w:spacing w:val="0"/>
          <w:sz w:val="22"/>
          <w:szCs w:val="24"/>
          <w:rtl/>
        </w:rPr>
        <w:t xml:space="preserve"> ד' ביניש</w:t>
      </w:r>
      <w:r>
        <w:rPr>
          <w:rFonts w:hint="cs"/>
          <w:rtl/>
        </w:rPr>
        <w:t xml:space="preserve"> (9.6.2009)). בידי ראש הממשלה נתונה (מעבר לסמכויות המנהליות השוטפות שלו) הסמכות העיקרית בכל הנוגע להרכבת הממשלה, קביעת זהות השרים המכהנים בה והתפקידים בהם יישאו (בג"ץ 1993/03 </w:t>
      </w:r>
      <w:r w:rsidRPr="00B62C6E">
        <w:rPr>
          <w:rFonts w:ascii="Century" w:hAnsi="Century" w:cs="Miriam" w:hint="cs"/>
          <w:b/>
          <w:spacing w:val="0"/>
          <w:sz w:val="22"/>
          <w:szCs w:val="24"/>
          <w:rtl/>
        </w:rPr>
        <w:t xml:space="preserve">התנועה למען איכות השלטון </w:t>
      </w:r>
      <w:r>
        <w:rPr>
          <w:rFonts w:ascii="Century" w:hAnsi="Century" w:cs="Miriam" w:hint="cs"/>
          <w:b/>
          <w:spacing w:val="0"/>
          <w:sz w:val="22"/>
          <w:szCs w:val="24"/>
          <w:rtl/>
        </w:rPr>
        <w:t xml:space="preserve">בישראל </w:t>
      </w:r>
      <w:r w:rsidRPr="00B62C6E">
        <w:rPr>
          <w:rFonts w:ascii="Century" w:hAnsi="Century" w:cs="Miriam" w:hint="cs"/>
          <w:b/>
          <w:spacing w:val="0"/>
          <w:sz w:val="22"/>
          <w:szCs w:val="24"/>
          <w:rtl/>
        </w:rPr>
        <w:t>נ' ראש הממשלה</w:t>
      </w:r>
      <w:r w:rsidRPr="00D82AA9">
        <w:rPr>
          <w:rFonts w:ascii="Century" w:hAnsi="Century" w:cs="Miriam" w:hint="cs"/>
          <w:b/>
          <w:spacing w:val="0"/>
          <w:sz w:val="22"/>
          <w:szCs w:val="24"/>
          <w:rtl/>
        </w:rPr>
        <w:t>, מר אריאל שרון</w:t>
      </w:r>
      <w:r>
        <w:rPr>
          <w:rFonts w:ascii="FrankRuehl" w:hAnsi="FrankRuehl" w:hint="cs"/>
          <w:rtl/>
        </w:rPr>
        <w:t xml:space="preserve">, פ"ד נז(6) 817, 833 (2003) (להלן: עניין </w:t>
      </w:r>
      <w:r w:rsidRPr="00B62C6E">
        <w:rPr>
          <w:rFonts w:ascii="Century" w:hAnsi="Century" w:cs="Miriam" w:hint="cs"/>
          <w:b/>
          <w:spacing w:val="0"/>
          <w:sz w:val="22"/>
          <w:szCs w:val="24"/>
          <w:rtl/>
        </w:rPr>
        <w:t>התנועה למען איכות השלטון</w:t>
      </w:r>
      <w:r>
        <w:rPr>
          <w:rFonts w:ascii="FrankRuehl" w:hAnsi="FrankRuehl" w:hint="cs"/>
          <w:rtl/>
        </w:rPr>
        <w:t xml:space="preserve">)). </w:t>
      </w:r>
      <w:r>
        <w:rPr>
          <w:rFonts w:hint="cs"/>
          <w:rtl/>
        </w:rPr>
        <w:t xml:space="preserve">עם זאת, לא נקבעו תנאי כשירות מיוחדים לכהונת ראש ממשלה, מלבד התנאי לפיו עליו להיות חבר כנסת (סעיף 5(ב) לחוק-יסוד: הממשלה). </w:t>
      </w:r>
    </w:p>
    <w:p w:rsidR="00FC4A43" w:rsidRPr="00F42032" w:rsidRDefault="00FC4A43" w:rsidP="00FC4A43">
      <w:pPr>
        <w:pStyle w:val="Ruller40"/>
      </w:pPr>
    </w:p>
    <w:p w:rsidR="00FC4A43" w:rsidRPr="005E5F10" w:rsidRDefault="00FC4A43" w:rsidP="00FC4A43">
      <w:pPr>
        <w:pStyle w:val="Ruller4"/>
        <w:rPr>
          <w:rtl/>
        </w:rPr>
      </w:pPr>
      <w:r>
        <w:rPr>
          <w:rFonts w:hint="cs"/>
          <w:rtl/>
        </w:rPr>
        <w:t>תנאי הכשירות של חברי כנסת קבועים בסעיף 6 לחוק-יסוד: הכנסת. בסעיף זה נקבע כי מי שהורשע בעבירה שיש עמה קלון בשבע השנים שלפני הבחירות ונגזרו עליו לפחות שלושה חודשי מאסר בפועל, אינו רשאי להיכלל ברשימת המועמדים לכנסת. הפסקת כהונתו של חבר כנסת מחמת ביצוע עבירה הוסדרה בסעיף 42א לחוק-יסוד: הכנסת, בו נקבע כי חבר כנסת שהורשע בעבירה שיש עמה קלון, תיפסק חברותו ביום בו פסק הדין הפך לסופי. למן מועד ההרשעה ועד למועד שבו ניתן פסק דין סופי, חבר הכנסת מושעה באופן אוטומטי מכהונתו בכנסת, על פי סעיף 42ב לחוק-יסוד: הכנסת. תנאי כשירותם של שרים נקבעו בסעיף 6 לחוק-יסוד: הממשלה וגם שם ישנן הוראות הדומות לאלו שנקבעו בחוק-יסוד: הכנסת בדבר הרשעתו של מי שמועמד להיות שר בעבירה שיש בה קלון בגינה נידון לעונש מאסר.</w:t>
      </w:r>
    </w:p>
    <w:p w:rsidR="00FC4A43" w:rsidRDefault="00FC4A43" w:rsidP="00FC4A43">
      <w:pPr>
        <w:pStyle w:val="Ruller40"/>
        <w:spacing w:line="240" w:lineRule="auto"/>
        <w:ind w:left="1644" w:right="1276"/>
        <w:rPr>
          <w:rtl/>
        </w:rPr>
      </w:pPr>
    </w:p>
    <w:p w:rsidR="00FC4A43" w:rsidRDefault="00FC4A43" w:rsidP="00FC4A43">
      <w:pPr>
        <w:pStyle w:val="Ruller4"/>
        <w:rPr>
          <w:rtl/>
        </w:rPr>
      </w:pPr>
      <w:r>
        <w:rPr>
          <w:rFonts w:hint="cs"/>
          <w:rtl/>
        </w:rPr>
        <w:t>הנה כי כן, תנאי הכשירות שקבע המחוקק-המכונן לגבי כהונת חברי כנסת (וכהונת שרים בממשלה) אינם מכילים כל הוראה אשר נועדה למנוע מחבר כנסת לקבל על עצמו את מלאכת הרכבת הממשלה או לכהן בה כראש ממשלה, אם כתב האישום הוגש עובר לכהונתו או תוך כדי כהונתו. במובן זה, ההסדר שקבע המחוקק-המכונן הוא הסדר שלם, לפיו כל אחד מחברי הכנסת, שעומד גם בתנאי הכשירות הקבועים בחוק-יסוד: הממשלה, כשיר לכהן כראש הממשלה וניתן להטיל עליו את מלאכת הרכבת הממשלה.</w:t>
      </w:r>
    </w:p>
    <w:p w:rsidR="00FC4A43" w:rsidRDefault="00FC4A43" w:rsidP="00FC4A43">
      <w:pPr>
        <w:pStyle w:val="Ruller40"/>
      </w:pPr>
      <w:r>
        <w:rPr>
          <w:rtl/>
        </w:rPr>
        <w:tab/>
      </w:r>
    </w:p>
    <w:p w:rsidR="00FC4A43" w:rsidRDefault="00FC4A43" w:rsidP="00FC4A43">
      <w:pPr>
        <w:pStyle w:val="Ruller4"/>
      </w:pPr>
      <w:r>
        <w:rPr>
          <w:rFonts w:hint="cs"/>
          <w:rtl/>
        </w:rPr>
        <w:t xml:space="preserve">מסקנה זו מתחזקת כאשר בוחנים, לצד תנאי הכשירות האמורים, את ההוראות השונות שקבע המחוקק-המכונן בעניין העמדתו לדין של ראש ממשלה. סעיף 17 לחוק-יסוד: הממשלה קובע הוראות שונות בדבר חקירת ראש הממשלה בתקופת כהונתו ולאחריה, הגשת כתב אישום נגדו והרשעתו. בסעיף 17(ג) אף נקבע כי הוראות בעניין כתב אישום שהוגש </w:t>
      </w:r>
      <w:r w:rsidRPr="00B54F0E">
        <w:rPr>
          <w:rFonts w:ascii="Century" w:hAnsi="Century" w:cs="Miriam" w:hint="cs"/>
          <w:b/>
          <w:spacing w:val="0"/>
          <w:szCs w:val="24"/>
          <w:rtl/>
        </w:rPr>
        <w:t>בטרם החל ראש הממשלה לכהן בתפקידו</w:t>
      </w:r>
      <w:r>
        <w:rPr>
          <w:rFonts w:hint="cs"/>
          <w:rtl/>
        </w:rPr>
        <w:t xml:space="preserve"> ייקבעו בחוק (וכך אכן נקבע בסעיף 4 לחוק הממשלה, התשס"א-2001). ללמדך, כי המחוקק-המכונן העלה גם העלה בדעתו כי ראש ממשלה יכול לכהן בתפקידו, שעה שלפני הטלת מלאכת הרכבת הממשלה עליו ולפני השבעת הממשלה, הוגש נגדו כתב אישום. כך גם סעיף 18 לחוק-יסוד: הממשלה קובע הוראות שונות בדבר הפסקת כהונתו של ראש ממשלה מחמת עבירה פלילית </w:t>
      </w:r>
      <w:r w:rsidRPr="00BA7915">
        <w:rPr>
          <w:rFonts w:ascii="Century" w:hAnsi="Century" w:cs="Miriam" w:hint="cs"/>
          <w:b/>
          <w:spacing w:val="0"/>
          <w:sz w:val="22"/>
          <w:szCs w:val="24"/>
          <w:rtl/>
        </w:rPr>
        <w:t>שהורשע</w:t>
      </w:r>
      <w:r>
        <w:rPr>
          <w:rFonts w:hint="cs"/>
          <w:rtl/>
        </w:rPr>
        <w:t xml:space="preserve"> בביצועה. </w:t>
      </w:r>
    </w:p>
    <w:p w:rsidR="00FC4A43" w:rsidRDefault="00FC4A43" w:rsidP="00FC4A43">
      <w:pPr>
        <w:pStyle w:val="Ruller40"/>
        <w:rPr>
          <w:rtl/>
        </w:rPr>
      </w:pPr>
    </w:p>
    <w:p w:rsidR="00FC4A43" w:rsidRDefault="00FC4A43" w:rsidP="00FC4A43">
      <w:pPr>
        <w:pStyle w:val="Ruller4"/>
        <w:rPr>
          <w:rtl/>
        </w:rPr>
      </w:pPr>
      <w:r>
        <w:rPr>
          <w:rFonts w:hint="cs"/>
          <w:rtl/>
        </w:rPr>
        <w:t xml:space="preserve">אם כן, הכנסת בשבתה כרשות המכוננת נמנעה במפורש מקביעה לפיה יש בעצם הגשת כתב אישום נגד ראש ממשלה מכהן כדי למנוע את המשך כהונתו בתפקיד. יתרה מכך, בחוק-יסוד: הממשלה נקבעו הסדרים פרטניים באשר לאופן העברת ראש ממשלה שהורשע בפלילים מתפקידו. אם בהתאם לחוק היסוד, רשאים חברי הכנסת לבחור שלא להעביר את ראש הממשלה מתפקידו ולאפשר לו להמשיך לכהן גם לאחר הרשעתו בפלילים </w:t>
      </w:r>
      <w:r>
        <w:rPr>
          <w:rtl/>
        </w:rPr>
        <w:t>–</w:t>
      </w:r>
      <w:r>
        <w:rPr>
          <w:rFonts w:hint="cs"/>
          <w:rtl/>
        </w:rPr>
        <w:t xml:space="preserve"> מקל וחומר, אין לומר כי קיימת מניעה מלכתחילה להטיל את הרכבת הממשלה על חבר כנסת הנאשם בפלילים טרם הורשע בדין. </w:t>
      </w:r>
    </w:p>
    <w:p w:rsidR="00FC4A43" w:rsidRPr="00B54F0E" w:rsidRDefault="00FC4A43" w:rsidP="00FC4A43">
      <w:pPr>
        <w:pStyle w:val="Ruller40"/>
        <w:rPr>
          <w:rtl/>
        </w:rPr>
      </w:pPr>
    </w:p>
    <w:p w:rsidR="00FC4A43" w:rsidRDefault="00FC4A43" w:rsidP="00FC4A43">
      <w:pPr>
        <w:pStyle w:val="Ruller4"/>
        <w:rPr>
          <w:rtl/>
        </w:rPr>
      </w:pPr>
      <w:r>
        <w:rPr>
          <w:rFonts w:hint="cs"/>
          <w:rtl/>
        </w:rPr>
        <w:t xml:space="preserve">מכלל האמור עד כה עולה, כי למרות שלא נקבע בחוקי היסוד "ברחל בתך הקטנה" שניתן להטיל את מלאכת הרכבת הממשלה על חבר כנסת הנאשם בפלילים, חוק-יסוד: הממשלה קבע הסדר מקיף לגבי הנושא הנדון. במסגרת הסדר זה לא הוטלה כל מגבלה על כהונה כאמור, ואין לקרוא לתוך חוקי היסוד תנאים ומגבלות שאינם נכללים בהם. בפרט, נוכח העובדה ששאלת כשירותו של חבר כנסת להרכיב ממשלה ולעמוד בראשה היא סוגיה משטרית יסודית. החלפת השלטון בדרך של הרכבת ממשלה בעקבות תוצאות הבחירות היא אחד הרכיבים הבסיסיים והחיוניים ביותר של משטר דמוקרטי. לא לחינם ביקש המחוקק-המכונן לקבוע בחוק-יסוד: הממשלה מנגנונים מפורטים באשר לאופן בו מתורגם רצון הבוחר לכדי הרכבת הממשלה והבאתה בפני הכנסת לצורך קבלת אמונה. נוכח חשיבותה ורגישותה של הסוגיה הנדונה, יש חשיבות עליונה כי הכללים המשפטיים החלים על הליך הרכבת הממשלה, בדומה לכללים החלים על הליך הבחירות, יהיו כאמור </w:t>
      </w:r>
      <w:r w:rsidRPr="00DE1C69">
        <w:rPr>
          <w:rFonts w:ascii="Century" w:hAnsi="Century" w:cs="Miriam" w:hint="cs"/>
          <w:b/>
          <w:spacing w:val="0"/>
          <w:sz w:val="22"/>
          <w:szCs w:val="24"/>
          <w:rtl/>
        </w:rPr>
        <w:t>ברורים, ודאיים וידועים</w:t>
      </w:r>
      <w:r>
        <w:rPr>
          <w:rFonts w:hint="cs"/>
          <w:rtl/>
        </w:rPr>
        <w:t xml:space="preserve"> מראש לכל השחקנים בשדה הפוליטי: הן לציבור הבוחרים והן לציבור הנבחרים. </w:t>
      </w:r>
    </w:p>
    <w:p w:rsidR="00FC4A43" w:rsidRDefault="00FC4A43" w:rsidP="00FC4A43">
      <w:pPr>
        <w:pStyle w:val="Ruller4"/>
        <w:numPr>
          <w:ilvl w:val="0"/>
          <w:numId w:val="0"/>
        </w:numPr>
        <w:rPr>
          <w:rtl/>
        </w:rPr>
      </w:pPr>
    </w:p>
    <w:p w:rsidR="00FC4A43" w:rsidRPr="00D7379E" w:rsidRDefault="00FC4A43" w:rsidP="00FC4A43">
      <w:pPr>
        <w:pStyle w:val="Ruller4"/>
        <w:numPr>
          <w:ilvl w:val="0"/>
          <w:numId w:val="0"/>
        </w:numPr>
        <w:rPr>
          <w:rtl/>
        </w:rPr>
      </w:pPr>
      <w:r>
        <w:rPr>
          <w:rtl/>
        </w:rPr>
        <w:tab/>
      </w:r>
      <w:r>
        <w:rPr>
          <w:rFonts w:hint="cs"/>
          <w:rtl/>
        </w:rPr>
        <w:t>ועתה לשאלה האם ניתן כלל לבחון את סבירות החלטתם של חברי הכנסת להטיל את הרכבת הממשלה על חבר כנסת הנאשם בפלילים.</w:t>
      </w:r>
    </w:p>
    <w:p w:rsidR="00FC4A43" w:rsidRPr="00255631" w:rsidRDefault="00FC4A43" w:rsidP="00FC4A43">
      <w:pPr>
        <w:pStyle w:val="Ruller40"/>
      </w:pPr>
    </w:p>
    <w:p w:rsidR="00FC4A43" w:rsidRPr="002E33B6" w:rsidRDefault="00FC4A43" w:rsidP="00FC4A43">
      <w:pPr>
        <w:pStyle w:val="Ruller4"/>
        <w:rPr>
          <w:rFonts w:ascii="FrankRuehl" w:hAnsi="FrankRuehl"/>
        </w:rPr>
      </w:pPr>
      <w:r>
        <w:rPr>
          <w:rFonts w:hint="cs"/>
          <w:rtl/>
        </w:rPr>
        <w:t>סעיף 7(א) לחוק-יסוד: הממשלה קובע כי "משיש לכונן ממשלה חדשה יטיל נשיא המדינה, לאחר שהתייעץ עם נציגי הסיעות בכנסת, את התפקיד להרכיב ממשלה על אחד מחברי הכנסת שהסכים לכך". סעיף 10 לחוק היסוד, שהוא הסעיף הרלוונטי לענייננו, קובע כי לאחר שניסיונות הרכבת הממשלה לפי סעיפים 9-7 כשלו "</w:t>
      </w:r>
      <w:r w:rsidRPr="005D5B16">
        <w:rPr>
          <w:rFonts w:ascii="Century" w:hAnsi="Century" w:cs="Miriam" w:hint="cs"/>
          <w:b/>
          <w:spacing w:val="0"/>
          <w:sz w:val="22"/>
          <w:szCs w:val="24"/>
          <w:rtl/>
        </w:rPr>
        <w:t>רשאים רוב חברי הכנסת לבקש מנשיא המדינה, בכתב, להטיל את התפקיד על חבר כנסת פלוני, שהסכים לכך בכתב</w:t>
      </w:r>
      <w:r>
        <w:rPr>
          <w:rFonts w:hint="cs"/>
          <w:rtl/>
        </w:rPr>
        <w:t xml:space="preserve">". או אז, </w:t>
      </w:r>
      <w:r>
        <w:rPr>
          <w:rFonts w:ascii="FrankRuehl" w:hAnsi="FrankRuehl" w:hint="cs"/>
          <w:rtl/>
        </w:rPr>
        <w:t>יטיל הנשיא, בתוך יומיים, את התפקיד להרכיב ממשלה על חבר הכנסת שצוין בבקשה.</w:t>
      </w:r>
    </w:p>
    <w:p w:rsidR="00FC4A43" w:rsidRDefault="00FC4A43" w:rsidP="00FC4A43">
      <w:pPr>
        <w:pStyle w:val="Ruller40"/>
        <w:rPr>
          <w:rtl/>
        </w:rPr>
      </w:pPr>
    </w:p>
    <w:p w:rsidR="00FC4A43" w:rsidRPr="00557C4D" w:rsidRDefault="00FC4A43" w:rsidP="00FC4A43">
      <w:pPr>
        <w:pStyle w:val="Ruller4"/>
        <w:rPr>
          <w:rtl/>
        </w:rPr>
      </w:pPr>
      <w:r>
        <w:rPr>
          <w:rFonts w:hint="cs"/>
          <w:rtl/>
        </w:rPr>
        <w:t xml:space="preserve">אני מסכים עם חברתי הנשיאה בקשר לכך שאין מקום לבחון את שיקול דעתם של נשיא המדינה, יושב ראש הכנסת וחבר הכנסת שמקבל על עצמו את תפקיד הרכבת הממשלה. ואוסיף כי, לעמדתי, אין גם מקום לבחון את סבירות שיקול הדעת של חברי הכנסת המגישים בקשה לנשיא המדינה בהתאם לסעיף 10(א) לחוק-יסוד: הממשלה, להטיל את מלאכת הרכבת הממשלה על חבר כנסת פלוני. בהתאם למעמדו המיוחד של ראש הממשלה, ונוכח ההסדרים החוקתיים שקבע המחוקק-המכונן בחוק-יסוד: הממשלה, העיקרון בדבר "כשירות לחוד, ושיקול דעת לחוד" (ראו: בג"ץ 3094/93 </w:t>
      </w:r>
      <w:r w:rsidRPr="008E0916">
        <w:rPr>
          <w:rFonts w:ascii="Century" w:hAnsi="Century" w:cs="Miriam" w:hint="cs"/>
          <w:b/>
          <w:spacing w:val="0"/>
          <w:szCs w:val="24"/>
          <w:rtl/>
        </w:rPr>
        <w:t>התנועה למען איכות השלטון בישראל נ' ממשלת ישראל</w:t>
      </w:r>
      <w:r>
        <w:rPr>
          <w:rFonts w:hint="cs"/>
          <w:rtl/>
        </w:rPr>
        <w:t>, פ"ד מז(5) 404 (1993); בג"ץ 426</w:t>
      </w:r>
      <w:r w:rsidRPr="008E0916">
        <w:rPr>
          <w:rFonts w:ascii="FrankRuehl" w:hAnsi="FrankRuehl" w:hint="cs"/>
          <w:rtl/>
        </w:rPr>
        <w:t>7/</w:t>
      </w:r>
      <w:r w:rsidRPr="008E0916">
        <w:rPr>
          <w:rFonts w:ascii="FrankRuehl" w:hAnsi="FrankRuehl" w:hint="cs"/>
          <w:b/>
          <w:spacing w:val="0"/>
          <w:rtl/>
        </w:rPr>
        <w:t>93</w:t>
      </w:r>
      <w:r w:rsidRPr="008E0916">
        <w:rPr>
          <w:rFonts w:ascii="Century" w:hAnsi="Century" w:cs="Miriam" w:hint="cs"/>
          <w:b/>
          <w:spacing w:val="0"/>
          <w:szCs w:val="24"/>
          <w:rtl/>
        </w:rPr>
        <w:t xml:space="preserve"> אמיתי </w:t>
      </w:r>
      <w:r w:rsidRPr="008E0916">
        <w:rPr>
          <w:rFonts w:ascii="Century" w:hAnsi="Century" w:cs="Miriam"/>
          <w:b/>
          <w:spacing w:val="0"/>
          <w:szCs w:val="24"/>
          <w:rtl/>
        </w:rPr>
        <w:t>–</w:t>
      </w:r>
      <w:r w:rsidRPr="008E0916">
        <w:rPr>
          <w:rFonts w:ascii="Century" w:hAnsi="Century" w:cs="Miriam" w:hint="cs"/>
          <w:b/>
          <w:spacing w:val="0"/>
          <w:szCs w:val="24"/>
          <w:rtl/>
        </w:rPr>
        <w:t xml:space="preserve"> אזרחים למען מינהל תקין וטוהר המידות נ' יצחק רבין, ראש ממשלת ישראל</w:t>
      </w:r>
      <w:r>
        <w:rPr>
          <w:rFonts w:hint="cs"/>
          <w:rtl/>
        </w:rPr>
        <w:t xml:space="preserve">, פ"ד מז(5) 441 (1993) (להלן: עניין </w:t>
      </w:r>
      <w:r w:rsidRPr="0043387C">
        <w:rPr>
          <w:rFonts w:ascii="Century" w:hAnsi="Century" w:cs="Miriam" w:hint="cs"/>
          <w:b/>
          <w:spacing w:val="0"/>
          <w:sz w:val="22"/>
          <w:szCs w:val="24"/>
          <w:rtl/>
        </w:rPr>
        <w:t>אמיתי</w:t>
      </w:r>
      <w:r>
        <w:rPr>
          <w:rFonts w:hint="cs"/>
          <w:rtl/>
        </w:rPr>
        <w:t xml:space="preserve">)) אינו רלוונטי לשאלת כהונתו של ראש הממשלה. השאלה היחידה שעומדת לפנינו היא שאלת </w:t>
      </w:r>
      <w:r w:rsidRPr="002A7DAD">
        <w:rPr>
          <w:rFonts w:ascii="Century" w:hAnsi="Century" w:cs="Miriam" w:hint="cs"/>
          <w:b/>
          <w:spacing w:val="0"/>
          <w:sz w:val="22"/>
          <w:szCs w:val="24"/>
          <w:rtl/>
        </w:rPr>
        <w:t>הכשירות</w:t>
      </w:r>
      <w:r>
        <w:rPr>
          <w:rFonts w:hint="cs"/>
          <w:rtl/>
        </w:rPr>
        <w:t xml:space="preserve"> ולא שאלת הסבירות.</w:t>
      </w:r>
    </w:p>
    <w:p w:rsidR="00FC4A43" w:rsidRDefault="00FC4A43" w:rsidP="00FC4A43">
      <w:pPr>
        <w:pStyle w:val="Ruller40"/>
      </w:pPr>
    </w:p>
    <w:p w:rsidR="00FC4A43" w:rsidRDefault="00FC4A43" w:rsidP="00FC4A43">
      <w:pPr>
        <w:pStyle w:val="Ruller4"/>
        <w:rPr>
          <w:rtl/>
        </w:rPr>
      </w:pPr>
      <w:r>
        <w:rPr>
          <w:rFonts w:hint="cs"/>
          <w:rtl/>
        </w:rPr>
        <w:t xml:space="preserve">אכן, "הביקורת השיפוטית משתרעת על כל רשויות השלטון, ובתוכן גם הכנסת" (בג"ץ 971/99 </w:t>
      </w:r>
      <w:r w:rsidRPr="00AC0EDD">
        <w:rPr>
          <w:rFonts w:ascii="Century" w:hAnsi="Century" w:cs="Miriam" w:hint="cs"/>
          <w:b/>
          <w:spacing w:val="0"/>
          <w:szCs w:val="24"/>
          <w:rtl/>
        </w:rPr>
        <w:t>התנועה לאיכות השלטון</w:t>
      </w:r>
      <w:r>
        <w:rPr>
          <w:rFonts w:ascii="Century" w:hAnsi="Century" w:cs="Miriam" w:hint="cs"/>
          <w:b/>
          <w:spacing w:val="0"/>
          <w:szCs w:val="24"/>
          <w:rtl/>
        </w:rPr>
        <w:t xml:space="preserve"> בישראל</w:t>
      </w:r>
      <w:r w:rsidRPr="00AC0EDD">
        <w:rPr>
          <w:rFonts w:ascii="Century" w:hAnsi="Century" w:cs="Miriam" w:hint="cs"/>
          <w:b/>
          <w:spacing w:val="0"/>
          <w:szCs w:val="24"/>
          <w:rtl/>
        </w:rPr>
        <w:t xml:space="preserve"> נ' ועדת הכנסת</w:t>
      </w:r>
      <w:r>
        <w:rPr>
          <w:rFonts w:hint="cs"/>
          <w:rtl/>
        </w:rPr>
        <w:t xml:space="preserve">, פ"ד נו(6) 117 (2002) (עניין </w:t>
      </w:r>
      <w:r>
        <w:rPr>
          <w:rFonts w:ascii="Century" w:hAnsi="Century" w:cs="Miriam" w:hint="cs"/>
          <w:b/>
          <w:spacing w:val="0"/>
          <w:szCs w:val="24"/>
          <w:rtl/>
        </w:rPr>
        <w:t>שכר חברי הכנסת</w:t>
      </w:r>
      <w:r>
        <w:rPr>
          <w:rFonts w:hint="cs"/>
          <w:rtl/>
        </w:rPr>
        <w:t xml:space="preserve">)). אולם, מעמדה של הכנסת כ"בית הנבחרים של המדינה" (סעיף 1 לחוק-יסוד: הכנסת), מחייב כי בית המשפט יפעיל את ביקורתו השיפוטית כלפי החלטותיה בזהירות ובריסון. ככלל, בית המשפט יימנע מלהתערב בהחלטות הכנסת, ואמת המידה הבסיסית על פיה נקבע מרחב התערבותו נעוצה באופייה של ההחלטה מבחינת מידת הפגיעה הכרוכה בה בעקרונות המשטר המדיני, ובתפיסות הבסיסיות המונחות ביסודו (ראו: בג"ץ 325/85 </w:t>
      </w:r>
      <w:r w:rsidRPr="00941AAC">
        <w:rPr>
          <w:rFonts w:ascii="Century" w:hAnsi="Century" w:cs="Miriam" w:hint="cs"/>
          <w:b/>
          <w:spacing w:val="0"/>
          <w:sz w:val="22"/>
          <w:szCs w:val="24"/>
          <w:rtl/>
        </w:rPr>
        <w:t>חבר הכנסת מוחמד</w:t>
      </w:r>
      <w:r w:rsidRPr="00941AAC">
        <w:rPr>
          <w:rFonts w:hint="cs"/>
          <w:rtl/>
        </w:rPr>
        <w:t xml:space="preserve"> </w:t>
      </w:r>
      <w:r w:rsidRPr="00880AF6">
        <w:rPr>
          <w:rFonts w:ascii="Century" w:hAnsi="Century" w:cs="Miriam" w:hint="cs"/>
          <w:b/>
          <w:spacing w:val="0"/>
          <w:szCs w:val="24"/>
          <w:rtl/>
        </w:rPr>
        <w:t>מיערי נ' יו"ר הכנסת</w:t>
      </w:r>
      <w:r>
        <w:rPr>
          <w:rFonts w:hint="cs"/>
          <w:rtl/>
        </w:rPr>
        <w:t xml:space="preserve">, פ"ד לט(3) 122, 195 (1985)). בהתאם לכך, "אין להפעיל לגבי החלטותיה ביקורת שיפוטית באותה צורה ובאותו אופן כמו לגבי רשות מינהלית. אין להתייחס להחלטות המתקבלות על ידי הפרלמנט, שנבחר על ידי כלל האזרחים, כפי שמתייחסים להחלטות של רשויות מינהליות, אפילו מדובר ברשויות בכירות ביותר" (בג"ץ 5853/07 </w:t>
      </w:r>
      <w:r w:rsidRPr="00880AF6">
        <w:rPr>
          <w:rFonts w:ascii="Century" w:hAnsi="Century" w:cs="Miriam" w:hint="cs"/>
          <w:b/>
          <w:spacing w:val="0"/>
          <w:szCs w:val="24"/>
          <w:rtl/>
        </w:rPr>
        <w:t>אמונה</w:t>
      </w:r>
      <w:r>
        <w:rPr>
          <w:rFonts w:ascii="Century" w:hAnsi="Century" w:cs="Miriam" w:hint="cs"/>
          <w:b/>
          <w:spacing w:val="0"/>
          <w:szCs w:val="24"/>
          <w:rtl/>
        </w:rPr>
        <w:t xml:space="preserve"> </w:t>
      </w:r>
      <w:r>
        <w:rPr>
          <w:rFonts w:ascii="Century" w:hAnsi="Century" w:cs="Miriam"/>
          <w:b/>
          <w:spacing w:val="0"/>
          <w:szCs w:val="24"/>
          <w:rtl/>
        </w:rPr>
        <w:t>–</w:t>
      </w:r>
      <w:r>
        <w:rPr>
          <w:rFonts w:ascii="Century" w:hAnsi="Century" w:cs="Miriam" w:hint="cs"/>
          <w:b/>
          <w:spacing w:val="0"/>
          <w:szCs w:val="24"/>
          <w:rtl/>
        </w:rPr>
        <w:t xml:space="preserve"> </w:t>
      </w:r>
      <w:r w:rsidRPr="00880AF6">
        <w:rPr>
          <w:rFonts w:ascii="Century" w:hAnsi="Century" w:cs="Miriam" w:hint="cs"/>
          <w:b/>
          <w:spacing w:val="0"/>
          <w:szCs w:val="24"/>
          <w:rtl/>
        </w:rPr>
        <w:t>תנועת האישה הדתית</w:t>
      </w:r>
      <w:r>
        <w:rPr>
          <w:rFonts w:ascii="Century" w:hAnsi="Century" w:cs="Miriam" w:hint="cs"/>
          <w:b/>
          <w:spacing w:val="0"/>
          <w:szCs w:val="24"/>
          <w:rtl/>
        </w:rPr>
        <w:t xml:space="preserve"> לאומית</w:t>
      </w:r>
      <w:r w:rsidRPr="00880AF6">
        <w:rPr>
          <w:rFonts w:ascii="Century" w:hAnsi="Century" w:cs="Miriam" w:hint="cs"/>
          <w:b/>
          <w:spacing w:val="0"/>
          <w:szCs w:val="24"/>
          <w:rtl/>
        </w:rPr>
        <w:t xml:space="preserve"> נ' ראש הממשלה, </w:t>
      </w:r>
      <w:r>
        <w:rPr>
          <w:rFonts w:ascii="Century" w:hAnsi="Century" w:cs="Miriam" w:hint="cs"/>
          <w:b/>
          <w:spacing w:val="0"/>
          <w:szCs w:val="24"/>
          <w:rtl/>
        </w:rPr>
        <w:t xml:space="preserve">מר </w:t>
      </w:r>
      <w:r w:rsidRPr="00880AF6">
        <w:rPr>
          <w:rFonts w:ascii="Century" w:hAnsi="Century" w:cs="Miriam" w:hint="cs"/>
          <w:b/>
          <w:spacing w:val="0"/>
          <w:szCs w:val="24"/>
          <w:rtl/>
        </w:rPr>
        <w:t>אהוד אולמרט</w:t>
      </w:r>
      <w:r>
        <w:rPr>
          <w:rFonts w:hint="cs"/>
          <w:rtl/>
        </w:rPr>
        <w:t xml:space="preserve">, פ"ד סב(3) 445, 516 (2007) (להלן: עניין </w:t>
      </w:r>
      <w:r>
        <w:rPr>
          <w:rFonts w:ascii="Century" w:hAnsi="Century" w:cs="Miriam" w:hint="cs"/>
          <w:b/>
          <w:spacing w:val="0"/>
          <w:szCs w:val="24"/>
          <w:rtl/>
        </w:rPr>
        <w:t>רמון</w:t>
      </w:r>
      <w:r>
        <w:rPr>
          <w:rFonts w:hint="cs"/>
          <w:rtl/>
        </w:rPr>
        <w:t xml:space="preserve">)). </w:t>
      </w:r>
    </w:p>
    <w:p w:rsidR="00FC4A43" w:rsidRDefault="00FC4A43" w:rsidP="00FC4A43">
      <w:pPr>
        <w:pStyle w:val="Ruller40"/>
        <w:rPr>
          <w:rtl/>
        </w:rPr>
      </w:pPr>
    </w:p>
    <w:p w:rsidR="00FC4A43" w:rsidRDefault="00FC4A43" w:rsidP="00FC4A43">
      <w:pPr>
        <w:pStyle w:val="Ruller4"/>
        <w:rPr>
          <w:rtl/>
        </w:rPr>
      </w:pPr>
      <w:r>
        <w:rPr>
          <w:rFonts w:hint="cs"/>
          <w:rtl/>
        </w:rPr>
        <w:t xml:space="preserve">כאמור, היקפה של הביקורת השיפוטית על החלטות הכנסת נקבע, בין היתר, על פי מהות ההחלטה ומאפייניה. "אין הרי התערבות בהחלטה שעניינה חקיקה, כהתערבות בהחלטה מעין שיפוטית או החלטה שעניינה ביקורת הכנסת על פעולות הממשלה" (בג"ץ 9070/00 </w:t>
      </w:r>
      <w:r w:rsidRPr="00880AF6">
        <w:rPr>
          <w:rFonts w:ascii="Century" w:hAnsi="Century" w:cs="Miriam" w:hint="cs"/>
          <w:b/>
          <w:spacing w:val="0"/>
          <w:szCs w:val="24"/>
          <w:rtl/>
        </w:rPr>
        <w:t>ח</w:t>
      </w:r>
      <w:r>
        <w:rPr>
          <w:rFonts w:ascii="Century" w:hAnsi="Century" w:cs="Miriam" w:hint="cs"/>
          <w:b/>
          <w:spacing w:val="0"/>
          <w:szCs w:val="24"/>
          <w:rtl/>
        </w:rPr>
        <w:t xml:space="preserve">ברת הכנסת לימור </w:t>
      </w:r>
      <w:r w:rsidRPr="00880AF6">
        <w:rPr>
          <w:rFonts w:ascii="Century" w:hAnsi="Century" w:cs="Miriam" w:hint="cs"/>
          <w:b/>
          <w:spacing w:val="0"/>
          <w:szCs w:val="24"/>
          <w:rtl/>
        </w:rPr>
        <w:t xml:space="preserve">ליבנת נ' </w:t>
      </w:r>
      <w:r>
        <w:rPr>
          <w:rFonts w:ascii="Century" w:hAnsi="Century" w:cs="Miriam" w:hint="cs"/>
          <w:b/>
          <w:spacing w:val="0"/>
          <w:szCs w:val="24"/>
          <w:rtl/>
        </w:rPr>
        <w:t>חבר הכנסת אמנון</w:t>
      </w:r>
      <w:r w:rsidRPr="00880AF6">
        <w:rPr>
          <w:rFonts w:ascii="Century" w:hAnsi="Century" w:cs="Miriam" w:hint="cs"/>
          <w:b/>
          <w:spacing w:val="0"/>
          <w:szCs w:val="24"/>
          <w:rtl/>
        </w:rPr>
        <w:t xml:space="preserve"> רובינשטיין</w:t>
      </w:r>
      <w:r>
        <w:rPr>
          <w:rFonts w:ascii="Century" w:hAnsi="Century" w:cs="Miriam" w:hint="cs"/>
          <w:b/>
          <w:spacing w:val="0"/>
          <w:szCs w:val="24"/>
          <w:rtl/>
        </w:rPr>
        <w:t xml:space="preserve"> </w:t>
      </w:r>
      <w:r>
        <w:rPr>
          <w:rFonts w:ascii="Century" w:hAnsi="Century" w:cs="Miriam"/>
          <w:b/>
          <w:spacing w:val="0"/>
          <w:szCs w:val="24"/>
          <w:rtl/>
        </w:rPr>
        <w:t>–</w:t>
      </w:r>
      <w:r>
        <w:rPr>
          <w:rFonts w:ascii="Century" w:hAnsi="Century" w:cs="Miriam" w:hint="cs"/>
          <w:b/>
          <w:spacing w:val="0"/>
          <w:szCs w:val="24"/>
          <w:rtl/>
        </w:rPr>
        <w:t xml:space="preserve"> יושב ראש ועדת חוקה, חוק ומשפט</w:t>
      </w:r>
      <w:r>
        <w:rPr>
          <w:rFonts w:hint="cs"/>
          <w:rtl/>
        </w:rPr>
        <w:t xml:space="preserve">, פ"ד נה(4) 800 (2001) (עניין </w:t>
      </w:r>
      <w:r w:rsidRPr="00F31B86">
        <w:rPr>
          <w:rFonts w:ascii="Century" w:hAnsi="Century" w:cs="Miriam" w:hint="cs"/>
          <w:b/>
          <w:spacing w:val="0"/>
          <w:szCs w:val="24"/>
          <w:rtl/>
        </w:rPr>
        <w:t>לבנת</w:t>
      </w:r>
      <w:r>
        <w:rPr>
          <w:rFonts w:hint="cs"/>
          <w:rtl/>
        </w:rPr>
        <w:t>); עניין</w:t>
      </w:r>
      <w:r w:rsidRPr="00ED6C13">
        <w:rPr>
          <w:rFonts w:ascii="Century" w:hAnsi="Century" w:cs="Miriam" w:hint="cs"/>
          <w:b/>
          <w:spacing w:val="0"/>
          <w:szCs w:val="24"/>
          <w:rtl/>
        </w:rPr>
        <w:t xml:space="preserve"> רמון</w:t>
      </w:r>
      <w:r>
        <w:rPr>
          <w:rFonts w:hint="cs"/>
          <w:rtl/>
        </w:rPr>
        <w:t>, עמ' 481). ניתן לומר כי הפסיקה סיווגה את החלטות הכנסת העומדות לביקורת שיפוטית לשלוש קטגוריות עיקריות: מעשי חקיקה שהושלמו; הליכים פנים-פרלמנטריים; החלטות מעין-שיפוטיות (</w:t>
      </w:r>
      <w:r w:rsidRPr="008E69C2">
        <w:rPr>
          <w:rFonts w:hint="cs"/>
          <w:rtl/>
        </w:rPr>
        <w:t>עניין</w:t>
      </w:r>
      <w:r w:rsidRPr="009E7F50">
        <w:rPr>
          <w:rFonts w:ascii="FrankRuehl" w:hAnsi="FrankRuehl" w:hint="cs"/>
          <w:b/>
          <w:spacing w:val="0"/>
          <w:rtl/>
        </w:rPr>
        <w:t xml:space="preserve"> </w:t>
      </w:r>
      <w:r w:rsidRPr="009E7F50">
        <w:rPr>
          <w:rFonts w:ascii="Century" w:hAnsi="Century" w:cs="Miriam" w:hint="cs"/>
          <w:b/>
          <w:spacing w:val="0"/>
          <w:szCs w:val="24"/>
          <w:rtl/>
        </w:rPr>
        <w:t>שכר חברי הכנסת</w:t>
      </w:r>
      <w:r>
        <w:rPr>
          <w:rFonts w:hint="cs"/>
          <w:rtl/>
        </w:rPr>
        <w:t>, עמ' 144-140). האם ניתן לשייך את הסמכות הנתקפת לאחת מהקטגוריות הנ"ל? לעמדתי, התשובה לכך היא שלילית וממנה גם נגזר היקף הביקורת השיפוטית.</w:t>
      </w:r>
    </w:p>
    <w:p w:rsidR="00FC4A43" w:rsidRPr="00FC4E37" w:rsidRDefault="00FC4A43" w:rsidP="00FC4A43">
      <w:pPr>
        <w:pStyle w:val="Ruller40"/>
      </w:pPr>
    </w:p>
    <w:p w:rsidR="00FC4A43" w:rsidRDefault="00FC4A43" w:rsidP="00FC4A43">
      <w:pPr>
        <w:pStyle w:val="Ruller4"/>
        <w:rPr>
          <w:rtl/>
        </w:rPr>
      </w:pPr>
      <w:r>
        <w:rPr>
          <w:rFonts w:hint="cs"/>
          <w:rtl/>
        </w:rPr>
        <w:t>כפי שציינה הנשיאה בפסק דינה, הסמכות המוקנית לחברי הכנסת במסגרת סעיף 10 לחוק-יסוד: הממשלה, ובאופן כללי הסמכויות המוקנות להם במסגרת הליכי הטלת המנדט להרכבת הממשלה על מי מחברי הכנסת, הן סמכויות ייחודיות (פסקה 16 לחוות דעתה), בהן המרכיב הפוליטי הוא בעל משקל רב. מדובר בהחלטה המצויה בליבת המשטר הפרלמנטרי. כפי שנכתב בעבר, "ככל שהמרכיב הפוליטי בהחלטה הוא בעל משקל רב יותר, יידרש בית המשפט לריסון גדול יותר" (</w:t>
      </w:r>
      <w:r w:rsidRPr="008E69C2">
        <w:rPr>
          <w:rFonts w:hint="cs"/>
          <w:rtl/>
        </w:rPr>
        <w:t>עניין</w:t>
      </w:r>
      <w:r w:rsidRPr="008E69C2">
        <w:rPr>
          <w:rFonts w:ascii="FrankRuehl" w:hAnsi="FrankRuehl" w:hint="cs"/>
          <w:b/>
          <w:spacing w:val="0"/>
          <w:rtl/>
        </w:rPr>
        <w:t xml:space="preserve"> </w:t>
      </w:r>
      <w:r w:rsidRPr="008E69C2">
        <w:rPr>
          <w:rFonts w:ascii="Century" w:hAnsi="Century" w:cs="Miriam" w:hint="cs"/>
          <w:b/>
          <w:spacing w:val="0"/>
          <w:szCs w:val="24"/>
          <w:rtl/>
        </w:rPr>
        <w:t>רמון</w:t>
      </w:r>
      <w:r>
        <w:rPr>
          <w:rFonts w:hint="cs"/>
          <w:rtl/>
        </w:rPr>
        <w:t xml:space="preserve">, עמ' 519). על כן, בסוגיית היקף הביקורת השיפוטית על החלטת חברי הכנסת להטיל את מלאכת הרכבת הממשלה קיימת זהות בין מתחם הסבירות של חברי הכנסת לבין תנאי הכשירות הקבועים בחוק-יסוד: הממשלה. הווה אומר, התערבותו של בית המשפט בשאלת הטלת הרכבת הממשלה על מי מחברי הכנסת מוגבלת למקרים בהם אותו חבר כנסת אינו עומד בתנאי הכשירות, או במקרים בהם נפל פגם בהליך הטלת הרכבת הממשלה על חבר כנסת היורד לשורשו של עניין (והשוו: בג"ץ 5131/03 </w:t>
      </w:r>
      <w:r w:rsidRPr="00C4240E">
        <w:rPr>
          <w:rFonts w:ascii="Century" w:hAnsi="Century" w:cs="Miriam" w:hint="cs"/>
          <w:b/>
          <w:spacing w:val="0"/>
          <w:szCs w:val="24"/>
          <w:rtl/>
        </w:rPr>
        <w:t>ח"כ יעקב ליצמן, יושב ראש סיעת יהדות התורה נ' יושב ראש הכנסת</w:t>
      </w:r>
      <w:r>
        <w:rPr>
          <w:rFonts w:hint="cs"/>
          <w:rtl/>
        </w:rPr>
        <w:t>, פ"ד נט(1) 577 (2004)).</w:t>
      </w:r>
    </w:p>
    <w:p w:rsidR="00FC4A43" w:rsidRDefault="00FC4A43" w:rsidP="00FC4A43">
      <w:pPr>
        <w:pStyle w:val="Ruller40"/>
        <w:rPr>
          <w:rtl/>
        </w:rPr>
      </w:pPr>
    </w:p>
    <w:p w:rsidR="00FC4A43" w:rsidRDefault="00FC4A43" w:rsidP="00FC4A43">
      <w:pPr>
        <w:pStyle w:val="Ruller4"/>
        <w:rPr>
          <w:rtl/>
        </w:rPr>
      </w:pPr>
      <w:r>
        <w:rPr>
          <w:rFonts w:hint="cs"/>
          <w:rtl/>
        </w:rPr>
        <w:t xml:space="preserve">ויודגש, קביעתי כי אין כל </w:t>
      </w:r>
      <w:r w:rsidRPr="00735875">
        <w:rPr>
          <w:rFonts w:ascii="FrankRuehl" w:hAnsi="FrankRuehl" w:hint="cs"/>
          <w:b/>
          <w:spacing w:val="0"/>
          <w:rtl/>
        </w:rPr>
        <w:t xml:space="preserve">בסיס </w:t>
      </w:r>
      <w:r w:rsidRPr="00735875">
        <w:rPr>
          <w:rFonts w:ascii="Century" w:hAnsi="Century" w:cs="Miriam" w:hint="cs"/>
          <w:b/>
          <w:spacing w:val="0"/>
          <w:szCs w:val="24"/>
          <w:rtl/>
        </w:rPr>
        <w:t>משפטי</w:t>
      </w:r>
      <w:r>
        <w:rPr>
          <w:rFonts w:hint="cs"/>
          <w:rtl/>
        </w:rPr>
        <w:t xml:space="preserve"> להתערבות בית המשפט בהחלטת חברי הכנסת להעביר לנשיא את שמו של חבר הכנסת בנימין נתניהו במסגרת הסמכות המוקנית להם בסעיף 10 לחוק-יסוד: הממשלה, אינה בגדר מתן הכשר. בהשאלה מדברי השופט </w:t>
      </w:r>
      <w:r w:rsidRPr="00735875">
        <w:rPr>
          <w:rFonts w:ascii="Century" w:hAnsi="Century" w:cs="Miriam" w:hint="cs"/>
          <w:b/>
          <w:spacing w:val="0"/>
          <w:szCs w:val="24"/>
          <w:rtl/>
        </w:rPr>
        <w:t>א' גרוניס</w:t>
      </w:r>
      <w:r>
        <w:rPr>
          <w:rFonts w:hint="cs"/>
          <w:rtl/>
        </w:rPr>
        <w:t xml:space="preserve"> בעניין </w:t>
      </w:r>
      <w:r>
        <w:rPr>
          <w:rFonts w:ascii="Century" w:hAnsi="Century" w:cs="Miriam" w:hint="cs"/>
          <w:b/>
          <w:spacing w:val="0"/>
          <w:szCs w:val="24"/>
          <w:rtl/>
        </w:rPr>
        <w:t>רמון</w:t>
      </w:r>
      <w:r>
        <w:rPr>
          <w:rFonts w:hint="cs"/>
          <w:rtl/>
        </w:rPr>
        <w:t xml:space="preserve">, דומני כי יש להותיר את השאלה בדבר כשירותו של נאשם בפלילים להרכיב ממשלה בספירה הציבורית. יש הסוברים, כדוגמת העותרים, כי הטלת מלאכת הרכבת הממשלה על נאשם בפלילים אינה ראויה ומשקפת זלזול בשלטון החוק. אולם, אין בעמדה זו כדי להצדיק את התערבותו של בית המשפט בהחלטה, שכן "חובה עלינו להפריד בין דעתנו כאזרחים לבין מחשבתנו כשופטים. אין בהכרח זהות בין משפט הציבור למשפט השופטים. </w:t>
      </w:r>
      <w:r w:rsidRPr="00497B46">
        <w:rPr>
          <w:rFonts w:ascii="Century" w:hAnsi="Century" w:cs="Miriam" w:hint="cs"/>
          <w:b/>
          <w:spacing w:val="0"/>
          <w:szCs w:val="24"/>
          <w:rtl/>
        </w:rPr>
        <w:t>טוב וראוי שכך</w:t>
      </w:r>
      <w:r>
        <w:rPr>
          <w:rFonts w:hint="cs"/>
          <w:rtl/>
        </w:rPr>
        <w:t xml:space="preserve">" (עניין </w:t>
      </w:r>
      <w:r w:rsidRPr="00680714">
        <w:rPr>
          <w:rFonts w:ascii="Century" w:hAnsi="Century" w:cs="Miriam" w:hint="cs"/>
          <w:b/>
          <w:spacing w:val="0"/>
          <w:sz w:val="22"/>
          <w:szCs w:val="24"/>
          <w:rtl/>
        </w:rPr>
        <w:t>רמון</w:t>
      </w:r>
      <w:r>
        <w:rPr>
          <w:rFonts w:hint="cs"/>
          <w:rtl/>
        </w:rPr>
        <w:t xml:space="preserve">, עמ' 526; ההדגשה הוספה </w:t>
      </w:r>
      <w:r>
        <w:rPr>
          <w:rtl/>
        </w:rPr>
        <w:t>–</w:t>
      </w:r>
      <w:r>
        <w:rPr>
          <w:rFonts w:hint="cs"/>
          <w:rtl/>
        </w:rPr>
        <w:t xml:space="preserve"> ד.מ.). </w:t>
      </w:r>
    </w:p>
    <w:p w:rsidR="00FC4A43" w:rsidRPr="0050743F" w:rsidRDefault="00FC4A43" w:rsidP="00FC4A43">
      <w:pPr>
        <w:pStyle w:val="Ruller40"/>
      </w:pPr>
    </w:p>
    <w:p w:rsidR="00FC4A43" w:rsidRDefault="00FC4A43" w:rsidP="00FC4A43">
      <w:pPr>
        <w:pStyle w:val="Ruller4"/>
        <w:rPr>
          <w:rtl/>
        </w:rPr>
      </w:pPr>
      <w:r>
        <w:rPr>
          <w:rFonts w:hint="cs"/>
          <w:rtl/>
        </w:rPr>
        <w:t xml:space="preserve">בענייננו, סיעת הליכוד והעומד בראשה, חבר הכנסת בנימין נתניהו, עמדו לבחירת הציבור שלוש פעמים במרוצת השנה האחרונה. כיום, לאחר מערכת הבחירות השלישית, רוב של חברי הכנסת, המייצגים את ציבור הבוחרים בשיטת המשטר הישראלית, בחר להטיל את מלאכת הרכבת הממשלה על חבר הכנסת נתניהו, אשר ממלא אחר תנאי הכשירות הקבועים בחוק לבחירה לכנסת ולכהונה כראש ממשלה. בנסיבות אלה, התערבותו של בית משפט זה, ללא עילה מבוררת בדין, אין לה מקום. במידה רבה, בחינת סבירות החלטת רוב של חברי הכנסת להעביר את שמו של חבר הכנסת נתניהו לנשיא המדינה על מנת שזה יטיל עליו את הרכבת הממשלה, כמוה, בשיטתנו המשטרית, כבחינת סבירות החלטתם של ציבור המצביעים, כאשר העובדה שנגד חבר הכנסת נתניהו הוגש כתב אישום הייתה גלויה לכל. יפים לעניין זה, בשינויים המחויבים דבריה של השופטת </w:t>
      </w:r>
      <w:r w:rsidRPr="00BD23FC">
        <w:rPr>
          <w:rFonts w:ascii="Century" w:hAnsi="Century" w:cs="Miriam" w:hint="cs"/>
          <w:b/>
          <w:spacing w:val="0"/>
          <w:szCs w:val="24"/>
          <w:rtl/>
        </w:rPr>
        <w:t>ד' דורנר</w:t>
      </w:r>
      <w:r>
        <w:rPr>
          <w:rFonts w:hint="cs"/>
          <w:rtl/>
        </w:rPr>
        <w:t xml:space="preserve"> בבג"ץ 7367/97 </w:t>
      </w:r>
      <w:r w:rsidRPr="00BD23FC">
        <w:rPr>
          <w:rFonts w:ascii="Century" w:hAnsi="Century" w:cs="Miriam" w:hint="cs"/>
          <w:b/>
          <w:spacing w:val="0"/>
          <w:szCs w:val="24"/>
          <w:rtl/>
        </w:rPr>
        <w:t>התנועה למען איכות השלטון</w:t>
      </w:r>
      <w:r>
        <w:rPr>
          <w:rFonts w:ascii="Century" w:hAnsi="Century" w:cs="Miriam" w:hint="cs"/>
          <w:b/>
          <w:spacing w:val="0"/>
          <w:szCs w:val="24"/>
          <w:rtl/>
        </w:rPr>
        <w:t xml:space="preserve"> בישראל</w:t>
      </w:r>
      <w:r w:rsidRPr="00BD23FC">
        <w:rPr>
          <w:rFonts w:ascii="Century" w:hAnsi="Century" w:cs="Miriam" w:hint="cs"/>
          <w:b/>
          <w:spacing w:val="0"/>
          <w:szCs w:val="24"/>
          <w:rtl/>
        </w:rPr>
        <w:t xml:space="preserve"> נ' היועץ המשפטי לממשל</w:t>
      </w:r>
      <w:r>
        <w:rPr>
          <w:rFonts w:ascii="Century" w:hAnsi="Century" w:cs="Miriam" w:hint="cs"/>
          <w:b/>
          <w:spacing w:val="0"/>
          <w:szCs w:val="24"/>
          <w:rtl/>
        </w:rPr>
        <w:t>ה</w:t>
      </w:r>
      <w:r>
        <w:rPr>
          <w:rFonts w:ascii="FrankRuehl" w:hAnsi="FrankRuehl" w:hint="cs"/>
          <w:b/>
          <w:spacing w:val="0"/>
          <w:rtl/>
        </w:rPr>
        <w:t>, פ"ד נב(4) 547, 558-557 (1998)</w:t>
      </w:r>
      <w:r>
        <w:rPr>
          <w:rFonts w:hint="cs"/>
          <w:rtl/>
        </w:rPr>
        <w:t>:</w:t>
      </w:r>
    </w:p>
    <w:p w:rsidR="00FC4A43" w:rsidRPr="000064A1" w:rsidRDefault="00FC4A43" w:rsidP="00FC4A43">
      <w:pPr>
        <w:pStyle w:val="Ruller40"/>
      </w:pPr>
    </w:p>
    <w:p w:rsidR="00FC4A43" w:rsidRPr="008234BA" w:rsidRDefault="00FC4A43" w:rsidP="00FC4A43">
      <w:pPr>
        <w:pStyle w:val="Ruller4"/>
        <w:numPr>
          <w:ilvl w:val="0"/>
          <w:numId w:val="0"/>
        </w:numPr>
        <w:spacing w:line="240" w:lineRule="auto"/>
        <w:ind w:left="1644" w:right="1276"/>
        <w:rPr>
          <w:rtl/>
        </w:rPr>
      </w:pPr>
      <w:r>
        <w:rPr>
          <w:rFonts w:hint="cs"/>
          <w:rtl/>
        </w:rPr>
        <w:t xml:space="preserve">"אמנם, אפשר כי כהונתו של חבר-הכנסת שהורשע בעבירות שיש עמן קלון עשויה לפגוע באמון הציבור בכנסת. ואולם, כנגד השמירה על אמון הציבור ברשויות השלטון עומד האינטרס בדבר הגשמת רצון הבוחרים, שהוא מיסודות המשטר הדמוקרטי. בין שניים אלה מאזן הדין. באיזון זה, שנעשה בחוק-יסוד: הכנסת, ניתנה עדיפות בולטת למימוש רצון הבוחרים". </w:t>
      </w:r>
    </w:p>
    <w:p w:rsidR="00FC4A43" w:rsidRDefault="00FC4A43" w:rsidP="00FC4A43">
      <w:pPr>
        <w:pStyle w:val="Ruller4"/>
        <w:numPr>
          <w:ilvl w:val="0"/>
          <w:numId w:val="0"/>
        </w:numPr>
        <w:rPr>
          <w:rtl/>
        </w:rPr>
      </w:pPr>
    </w:p>
    <w:p w:rsidR="00FC4A43" w:rsidRDefault="00FC4A43" w:rsidP="00FC4A43">
      <w:pPr>
        <w:pStyle w:val="Ruller40"/>
        <w:rPr>
          <w:rtl/>
        </w:rPr>
      </w:pPr>
      <w:r>
        <w:rPr>
          <w:rtl/>
        </w:rPr>
        <w:tab/>
      </w:r>
      <w:r>
        <w:rPr>
          <w:rFonts w:hint="cs"/>
          <w:rtl/>
        </w:rPr>
        <w:t xml:space="preserve">הדברים נכונים אף באשר לחוק-יסוד: הממשלה והטלת מלאכת הרכבת הממשלה על חבר כנסת פלוני. אל לו לבית משפט זה לשים עצמו בנעליהם של הבוחרים. </w:t>
      </w:r>
    </w:p>
    <w:p w:rsidR="00FC4A43" w:rsidRDefault="00FC4A43" w:rsidP="00FC4A43">
      <w:pPr>
        <w:pStyle w:val="Ruller40"/>
        <w:rPr>
          <w:rtl/>
        </w:rPr>
      </w:pPr>
    </w:p>
    <w:p w:rsidR="00FC4A43" w:rsidRDefault="00FC4A43" w:rsidP="00FC4A43">
      <w:pPr>
        <w:pStyle w:val="Ruller4"/>
        <w:rPr>
          <w:rtl/>
        </w:rPr>
      </w:pPr>
      <w:r>
        <w:rPr>
          <w:rFonts w:hint="cs"/>
          <w:rtl/>
        </w:rPr>
        <w:t xml:space="preserve">לעמדתי, שיקול נוסף ומרכזי בסוגיית התערבותנו באשר ליכולתו של חבר הכנסת נתניהו להרכיב ממשלה ולכהן כראש ממשלה הוא העובדה שציבור הבוחרים, כאמור, הלך לקלפיות שלוש פעמים במהלך השנה האחרונה כאשר חבר הכנסת נתניהו, ראש הממשלה המכהן, עמד בראש סיעת הליכוד כאחד המועמדים המובילים להרכבת הממשלה לאחר הבחירות. הבחירות לכנסת ה-23, הכנסת הנוכחית, אף נערכו לאחר הגשת כתב האישום נגד חבר הכנסת נתניהו. למרות שעננת החשדות הפליליים תלויה ועומדת נגדו לאורך תקופה ארוכה, כל העתירות שהוגשו נגד המשך כהונתו כראש הממשלה וכשירותו לקבל על עצמו את מלאכת הרכבת הממשלה נדחו בהיותן תיאורטיות או מוקדמות (ראו, בין היתר: בג"ץ 2848/19 </w:t>
      </w:r>
      <w:r w:rsidRPr="00836EA9">
        <w:rPr>
          <w:rFonts w:ascii="Century" w:hAnsi="Century" w:cs="Miriam" w:hint="cs"/>
          <w:b/>
          <w:spacing w:val="0"/>
          <w:szCs w:val="24"/>
          <w:rtl/>
        </w:rPr>
        <w:t>עו"ד שחר בן מאיר נ' בנימין נתניהו, חבר הכנסת ה-21</w:t>
      </w:r>
      <w:r>
        <w:rPr>
          <w:rFonts w:hint="cs"/>
          <w:rtl/>
        </w:rPr>
        <w:t xml:space="preserve"> (23.4.2019); בג"ץ 7928/19 </w:t>
      </w:r>
      <w:r w:rsidRPr="00836EA9">
        <w:rPr>
          <w:rFonts w:ascii="Century" w:hAnsi="Century" w:cs="Miriam" w:hint="cs"/>
          <w:b/>
          <w:spacing w:val="0"/>
          <w:szCs w:val="24"/>
          <w:rtl/>
        </w:rPr>
        <w:t>עו"ד שפיק רפול נ' בנימין נתניהו, ראש ממשלת ישראל</w:t>
      </w:r>
      <w:r>
        <w:rPr>
          <w:rFonts w:hint="cs"/>
          <w:rtl/>
        </w:rPr>
        <w:t xml:space="preserve"> (12.12.2019); בג"ץ 8145/19 </w:t>
      </w:r>
      <w:r w:rsidRPr="00836EA9">
        <w:rPr>
          <w:rFonts w:ascii="Century" w:hAnsi="Century" w:cs="Miriam" w:hint="cs"/>
          <w:b/>
          <w:spacing w:val="0"/>
          <w:szCs w:val="24"/>
          <w:rtl/>
        </w:rPr>
        <w:t>ד"ר ארנה ברי נ' היועץ המשפטי לממשלה</w:t>
      </w:r>
      <w:r>
        <w:rPr>
          <w:rFonts w:hint="cs"/>
          <w:rtl/>
        </w:rPr>
        <w:t xml:space="preserve"> (2.1.2020)). במצב דברים זה, יש ליתן משקל כבד להסתמכות של חלק נכבד מציבור הבוחרים על כך שלאחר הבחירות לא תוטל כל מגבלה על יכולתו של חבר הכנסת נתניהו להרכיב ממשלה. התערבותנו בכגון דא, לאחר קיום הבחירות, תפגע באופן אנוש בהליך הדמוקרטי, ביציבות ובוודאות, שהן כאמור מאבני היסוד של כללי המשחק המשטריים, וכפועל יוצא באמון הציבור במוסדות השלטון בכלל ובבתי המשפט בפרט.</w:t>
      </w:r>
    </w:p>
    <w:p w:rsidR="00FC4A43" w:rsidRDefault="00FC4A43" w:rsidP="00FC4A43">
      <w:pPr>
        <w:pStyle w:val="Ruller40"/>
        <w:rPr>
          <w:rtl/>
        </w:rPr>
      </w:pPr>
    </w:p>
    <w:p w:rsidR="00FC4A43" w:rsidRDefault="00FC4A43" w:rsidP="00FC4A43">
      <w:pPr>
        <w:pStyle w:val="Ruller4"/>
        <w:rPr>
          <w:rtl/>
        </w:rPr>
      </w:pPr>
      <w:r>
        <w:rPr>
          <w:rFonts w:hint="cs"/>
          <w:rtl/>
        </w:rPr>
        <w:t xml:space="preserve">אין לכחד, על פניו התוצאה האמורה מעוררת אי נוחות מסוימת. זאת נוכח קיומה של הלכת </w:t>
      </w:r>
      <w:r w:rsidRPr="00865632">
        <w:rPr>
          <w:rFonts w:ascii="Century" w:hAnsi="Century" w:cs="Miriam" w:hint="cs"/>
          <w:b/>
          <w:spacing w:val="0"/>
          <w:sz w:val="22"/>
          <w:szCs w:val="24"/>
          <w:rtl/>
        </w:rPr>
        <w:t>דרעי-פנחסי</w:t>
      </w:r>
      <w:r>
        <w:rPr>
          <w:rFonts w:hint="cs"/>
          <w:rtl/>
        </w:rPr>
        <w:t xml:space="preserve"> (בג"ץ 3094/93 </w:t>
      </w:r>
      <w:r w:rsidRPr="00865632">
        <w:rPr>
          <w:rFonts w:ascii="Century" w:hAnsi="Century" w:cs="Miriam" w:hint="cs"/>
          <w:b/>
          <w:spacing w:val="0"/>
          <w:sz w:val="22"/>
          <w:szCs w:val="24"/>
          <w:rtl/>
        </w:rPr>
        <w:t>התנועה למען איכות השלטון בישראל נ' ממשלת ישראל</w:t>
      </w:r>
      <w:r>
        <w:rPr>
          <w:rFonts w:hint="cs"/>
          <w:rtl/>
        </w:rPr>
        <w:t xml:space="preserve">, פ"ד מז(5) 404 (1993); עניין </w:t>
      </w:r>
      <w:r w:rsidRPr="00865632">
        <w:rPr>
          <w:rFonts w:ascii="Century" w:hAnsi="Century" w:cs="Miriam" w:hint="cs"/>
          <w:b/>
          <w:spacing w:val="0"/>
          <w:sz w:val="22"/>
          <w:szCs w:val="24"/>
          <w:rtl/>
        </w:rPr>
        <w:t>אמיתי</w:t>
      </w:r>
      <w:r>
        <w:rPr>
          <w:rFonts w:hint="cs"/>
          <w:rtl/>
        </w:rPr>
        <w:t xml:space="preserve">). זאת שכן, כתב אישום שאינו מהווה מכשול לכהונת ראש ממשלה, שעה שהוא מוגש נגד שר, חלה חובה על ראש הממשלה לסיים את כהונת השר באותה ממשלה. אלא שבעניין זה, די לי להפנות לדברי חבריי, הנשיאה והשופט </w:t>
      </w:r>
      <w:r w:rsidRPr="00E63180">
        <w:rPr>
          <w:rFonts w:ascii="Century" w:hAnsi="Century" w:cs="Miriam" w:hint="cs"/>
          <w:b/>
          <w:spacing w:val="0"/>
          <w:sz w:val="22"/>
          <w:szCs w:val="24"/>
          <w:rtl/>
        </w:rPr>
        <w:t>עמית</w:t>
      </w:r>
      <w:r>
        <w:rPr>
          <w:rFonts w:hint="cs"/>
          <w:rtl/>
        </w:rPr>
        <w:t xml:space="preserve">. </w:t>
      </w:r>
    </w:p>
    <w:p w:rsidR="00FC4A43" w:rsidRPr="00C04781" w:rsidRDefault="00FC4A43" w:rsidP="00FC4A43">
      <w:pPr>
        <w:pStyle w:val="Ruller40"/>
        <w:rPr>
          <w:rtl/>
        </w:rPr>
      </w:pPr>
    </w:p>
    <w:p w:rsidR="00FC4A43" w:rsidRDefault="00FC4A43" w:rsidP="00FC4A43">
      <w:pPr>
        <w:pStyle w:val="Ruller4"/>
      </w:pPr>
      <w:r>
        <w:rPr>
          <w:rFonts w:hint="cs"/>
          <w:rtl/>
        </w:rPr>
        <w:t>אוסיף רק לקראת סיום. הגמרא (</w:t>
      </w:r>
      <w:r>
        <w:rPr>
          <w:rFonts w:cs="Miriam" w:hint="cs"/>
          <w:b/>
          <w:spacing w:val="0"/>
          <w:szCs w:val="24"/>
          <w:rtl/>
        </w:rPr>
        <w:t xml:space="preserve">בבלי, </w:t>
      </w:r>
      <w:r w:rsidRPr="00C04781">
        <w:rPr>
          <w:rFonts w:cs="Miriam" w:hint="cs"/>
          <w:b/>
          <w:spacing w:val="0"/>
          <w:szCs w:val="24"/>
          <w:rtl/>
        </w:rPr>
        <w:t>יומא</w:t>
      </w:r>
      <w:r>
        <w:rPr>
          <w:rFonts w:hint="cs"/>
          <w:rtl/>
        </w:rPr>
        <w:t xml:space="preserve"> כב, ע"ב) אומרת: </w:t>
      </w:r>
    </w:p>
    <w:p w:rsidR="00FC4A43" w:rsidRPr="00C04781" w:rsidRDefault="00FC4A43" w:rsidP="00FC4A43">
      <w:pPr>
        <w:pStyle w:val="Ruller4"/>
        <w:numPr>
          <w:ilvl w:val="0"/>
          <w:numId w:val="0"/>
        </w:numPr>
        <w:rPr>
          <w:rtl/>
        </w:rPr>
      </w:pPr>
    </w:p>
    <w:p w:rsidR="00FC4A43" w:rsidRDefault="00FC4A43" w:rsidP="00FC4A43">
      <w:pPr>
        <w:pStyle w:val="Ruller5"/>
        <w:rPr>
          <w:rtl/>
        </w:rPr>
      </w:pPr>
      <w:r>
        <w:rPr>
          <w:rFonts w:hint="cs"/>
          <w:rtl/>
        </w:rPr>
        <w:t>"</w:t>
      </w:r>
      <w:r w:rsidRPr="00407B1D">
        <w:rPr>
          <w:rtl/>
        </w:rPr>
        <w:t>אמר רב יהודה אמר שמואל: מפני מה לא נמשכה מלכות בית שאול? מפני שלא היה בו שום</w:t>
      </w:r>
      <w:r w:rsidRPr="00407B1D">
        <w:t xml:space="preserve"> </w:t>
      </w:r>
      <w:r w:rsidRPr="00407B1D">
        <w:rPr>
          <w:rtl/>
        </w:rPr>
        <w:t>דופ</w:t>
      </w:r>
      <w:r>
        <w:rPr>
          <w:rFonts w:hint="cs"/>
          <w:rtl/>
        </w:rPr>
        <w:t xml:space="preserve">י. </w:t>
      </w:r>
      <w:r w:rsidRPr="00407B1D">
        <w:rPr>
          <w:rtl/>
        </w:rPr>
        <w:t>דאמר רבי יוחנן משום רבי שמעון בן יהוצדק: אין מעמידין פרנס על</w:t>
      </w:r>
      <w:r w:rsidRPr="00407B1D">
        <w:t xml:space="preserve"> </w:t>
      </w:r>
      <w:r w:rsidRPr="00407B1D">
        <w:rPr>
          <w:rtl/>
        </w:rPr>
        <w:t>הציבור אלא אם כן קופה של שרצים תלויה לו מאחוריו, שאם תזוח דעתו עלי</w:t>
      </w:r>
      <w:r>
        <w:rPr>
          <w:rFonts w:hint="cs"/>
          <w:rtl/>
        </w:rPr>
        <w:t xml:space="preserve">ו, אומרין לו: "חזור לאחוריך". </w:t>
      </w:r>
    </w:p>
    <w:p w:rsidR="00FC4A43" w:rsidRDefault="00FC4A43" w:rsidP="00FC4A43">
      <w:pPr>
        <w:pStyle w:val="Ruller4"/>
        <w:numPr>
          <w:ilvl w:val="0"/>
          <w:numId w:val="0"/>
        </w:numPr>
        <w:rPr>
          <w:rtl/>
        </w:rPr>
      </w:pPr>
    </w:p>
    <w:p w:rsidR="00FC4A43" w:rsidRDefault="00FC4A43" w:rsidP="00FC4A43">
      <w:pPr>
        <w:pStyle w:val="Ruller4"/>
        <w:rPr>
          <w:rtl/>
        </w:rPr>
      </w:pPr>
      <w:r>
        <w:rPr>
          <w:rFonts w:hint="cs"/>
          <w:rtl/>
        </w:rPr>
        <w:t xml:space="preserve">לכאורה אפוא, על פשטותם של דברים, מלכתחילה טוב דווקא שיימצא דופי במנהיגי הציבור. אדרבה, מי שנקי דעת, בעל מידות נעלות ואורחות חיים ללא דופי, אינו ראוי שמנהיגותו הציבורית תימשך לאורך זמן. אלא שהמעיין במפרשי התלמוד בסוגיה ימצא פרשנות אחרת לכתוב. </w:t>
      </w:r>
      <w:r w:rsidRPr="000F17BA">
        <w:rPr>
          <w:rFonts w:ascii="Century" w:hAnsi="Century" w:cs="Miriam" w:hint="cs"/>
          <w:b/>
          <w:spacing w:val="0"/>
          <w:szCs w:val="24"/>
          <w:rtl/>
        </w:rPr>
        <w:t>המאירי</w:t>
      </w:r>
      <w:r w:rsidRPr="00407B1D">
        <w:rPr>
          <w:rFonts w:hint="cs"/>
          <w:rtl/>
        </w:rPr>
        <w:t xml:space="preserve"> על אתר</w:t>
      </w:r>
      <w:r>
        <w:rPr>
          <w:rFonts w:hint="cs"/>
          <w:rtl/>
        </w:rPr>
        <w:t xml:space="preserve"> מסביר</w:t>
      </w:r>
      <w:r w:rsidRPr="00407B1D">
        <w:rPr>
          <w:rFonts w:hint="cs"/>
          <w:rtl/>
        </w:rPr>
        <w:t>:</w:t>
      </w:r>
    </w:p>
    <w:p w:rsidR="00FC4A43" w:rsidRDefault="00FC4A43" w:rsidP="00FC4A43">
      <w:pPr>
        <w:pStyle w:val="Ruller40"/>
        <w:rPr>
          <w:rtl/>
        </w:rPr>
      </w:pPr>
    </w:p>
    <w:p w:rsidR="00FC4A43" w:rsidRDefault="00FC4A43" w:rsidP="00FC4A43">
      <w:pPr>
        <w:pStyle w:val="Ruller5"/>
        <w:rPr>
          <w:rtl/>
        </w:rPr>
      </w:pPr>
      <w:r w:rsidRPr="00407B1D">
        <w:rPr>
          <w:rFonts w:hint="cs"/>
          <w:rtl/>
        </w:rPr>
        <w:t>"</w:t>
      </w:r>
      <w:r w:rsidRPr="00407B1D">
        <w:rPr>
          <w:rtl/>
        </w:rPr>
        <w:t>אין ראוי</w:t>
      </w:r>
      <w:r w:rsidRPr="00407B1D">
        <w:t xml:space="preserve"> </w:t>
      </w:r>
      <w:r w:rsidRPr="00407B1D">
        <w:rPr>
          <w:rtl/>
        </w:rPr>
        <w:t>להעמיד פרנס על הציבור אלא מי שנודע במידותיו, עניו ושפל</w:t>
      </w:r>
      <w:r w:rsidRPr="00407B1D">
        <w:t xml:space="preserve"> </w:t>
      </w:r>
      <w:r w:rsidRPr="00407B1D">
        <w:rPr>
          <w:rtl/>
        </w:rPr>
        <w:t>רוח וסבלן, מפני שהוא צריך להתנהג עם הבריות בדרכים משתנים לכמה גוונים, זה בכה וזה</w:t>
      </w:r>
      <w:r w:rsidRPr="00407B1D">
        <w:t xml:space="preserve"> </w:t>
      </w:r>
      <w:r w:rsidRPr="00407B1D">
        <w:rPr>
          <w:rtl/>
        </w:rPr>
        <w:t>בכה, ולהתאהב עם כל אחד מהם כפי מידותי</w:t>
      </w:r>
      <w:r w:rsidRPr="00407B1D">
        <w:rPr>
          <w:rFonts w:hint="cs"/>
          <w:rtl/>
        </w:rPr>
        <w:t xml:space="preserve">ו. </w:t>
      </w:r>
      <w:r w:rsidRPr="00407B1D">
        <w:rPr>
          <w:rtl/>
        </w:rPr>
        <w:t>ואם הם במקום שאין מוצאים כך, ועל כל פנים צריכים למנות אבירי לב ועזי מצ</w:t>
      </w:r>
      <w:r>
        <w:rPr>
          <w:rFonts w:hint="cs"/>
          <w:rtl/>
        </w:rPr>
        <w:t xml:space="preserve">ח, </w:t>
      </w:r>
      <w:r w:rsidRPr="00407B1D">
        <w:rPr>
          <w:rtl/>
        </w:rPr>
        <w:t>יזהרו שלא למנות אנשים תקיפים כל כך בכל עניין שיהו סבורים על אותו מינוי שיהא</w:t>
      </w:r>
      <w:r w:rsidRPr="00407B1D">
        <w:t xml:space="preserve"> </w:t>
      </w:r>
      <w:r w:rsidRPr="00407B1D">
        <w:rPr>
          <w:rtl/>
        </w:rPr>
        <w:t>מוחזק בידם לעולם, ושהם הראויים לכך יותר על שכניהם מחמת תוקפ</w:t>
      </w:r>
      <w:r>
        <w:rPr>
          <w:rFonts w:hint="cs"/>
          <w:rtl/>
        </w:rPr>
        <w:t>ם ...</w:t>
      </w:r>
      <w:r w:rsidRPr="00407B1D">
        <w:rPr>
          <w:rFonts w:hint="cs"/>
          <w:rtl/>
        </w:rPr>
        <w:t xml:space="preserve"> </w:t>
      </w:r>
      <w:r w:rsidRPr="00407B1D">
        <w:rPr>
          <w:rtl/>
        </w:rPr>
        <w:t>דרך צחות ודרך הפלגה אמרו: אין ממנין פרנס על הציבור אלא אם כן קופה של</w:t>
      </w:r>
      <w:r w:rsidRPr="00407B1D">
        <w:t xml:space="preserve"> </w:t>
      </w:r>
      <w:r w:rsidRPr="00407B1D">
        <w:rPr>
          <w:rtl/>
        </w:rPr>
        <w:t>שרצים תלויה לאחריו, כלומר אף על פי שהוא הגון בעצמו, שאם תזוח דעתו ויתגאה על</w:t>
      </w:r>
      <w:r w:rsidRPr="00407B1D">
        <w:t xml:space="preserve"> </w:t>
      </w:r>
      <w:r w:rsidRPr="00407B1D">
        <w:rPr>
          <w:rtl/>
        </w:rPr>
        <w:t>הצבור שלא לשם שמים, אומרים לו: חזור לדון את עצמך והבט אל אחרי</w:t>
      </w:r>
      <w:r>
        <w:rPr>
          <w:rFonts w:hint="cs"/>
          <w:rtl/>
        </w:rPr>
        <w:t xml:space="preserve">ך." </w:t>
      </w:r>
    </w:p>
    <w:p w:rsidR="00FC4A43" w:rsidRDefault="00FC4A43" w:rsidP="00FC4A43">
      <w:pPr>
        <w:pStyle w:val="Ruller40"/>
        <w:rPr>
          <w:rFonts w:ascii="Century" w:hAnsi="Century" w:cs="Miriam"/>
          <w:b/>
          <w:spacing w:val="0"/>
          <w:szCs w:val="24"/>
          <w:rtl/>
        </w:rPr>
      </w:pPr>
    </w:p>
    <w:p w:rsidR="00FC4A43" w:rsidRPr="00E6774E" w:rsidRDefault="00FC4A43" w:rsidP="00FC4A43">
      <w:pPr>
        <w:pStyle w:val="Ruller40"/>
        <w:rPr>
          <w:rFonts w:ascii="Century" w:hAnsi="Century"/>
          <w:rtl/>
        </w:rPr>
      </w:pPr>
      <w:r>
        <w:rPr>
          <w:rFonts w:ascii="Century" w:hAnsi="Century" w:cs="Miriam"/>
          <w:b/>
          <w:spacing w:val="0"/>
          <w:szCs w:val="24"/>
          <w:rtl/>
        </w:rPr>
        <w:tab/>
      </w:r>
      <w:r>
        <w:rPr>
          <w:rFonts w:ascii="Century" w:hAnsi="Century" w:hint="cs"/>
          <w:rtl/>
        </w:rPr>
        <w:t xml:space="preserve">רוצה לומר כי אין להבין את הדברים כפשוטם. </w:t>
      </w:r>
      <w:r>
        <w:rPr>
          <w:rFonts w:hint="cs"/>
          <w:rtl/>
        </w:rPr>
        <w:t>"</w:t>
      </w:r>
      <w:r w:rsidRPr="00407B1D">
        <w:rPr>
          <w:rtl/>
        </w:rPr>
        <w:t>דרך צחות ודרך הפלגה אמרו</w:t>
      </w:r>
      <w:r>
        <w:rPr>
          <w:rFonts w:hint="cs"/>
          <w:rtl/>
        </w:rPr>
        <w:t xml:space="preserve">". זאת כדי למנוע גאווה יתרה. בעניינים מסוג זה שאין לגביהם כל מחלוקת בין מי מהצדדים, על הציבור ועל המחוקק-המכונן לתת את דעתו. לא בית המשפט. </w:t>
      </w:r>
    </w:p>
    <w:p w:rsidR="00FC4A43" w:rsidRDefault="00FC4A43">
      <w:pPr>
        <w:pStyle w:val="BODYVERDICT"/>
        <w:rPr>
          <w:rFonts w:ascii="Century" w:hAnsi="Century"/>
          <w:rtl/>
        </w:rPr>
      </w:pPr>
    </w:p>
    <w:p w:rsidR="00DA042E" w:rsidRPr="00FC4A43" w:rsidRDefault="00DA042E">
      <w:pPr>
        <w:pStyle w:val="BODYVERDICT"/>
        <w:rPr>
          <w:rFonts w:ascii="Century" w:hAnsi="Century"/>
          <w:rtl/>
        </w:rPr>
      </w:pPr>
    </w:p>
    <w:p w:rsidR="008C6885" w:rsidRPr="00FC4A43" w:rsidRDefault="00FC4A43" w:rsidP="008C6885">
      <w:pPr>
        <w:pStyle w:val="BODYVERDICT"/>
        <w:rPr>
          <w:rFonts w:ascii="Century" w:hAnsi="Century"/>
          <w:rtl/>
        </w:rPr>
      </w:pPr>
      <w:r w:rsidRPr="00FC4A43">
        <w:rPr>
          <w:rFonts w:ascii="Century" w:hAnsi="Century"/>
          <w:rtl/>
        </w:rPr>
        <w:tab/>
      </w:r>
      <w:r w:rsidRPr="00FC4A43">
        <w:rPr>
          <w:rFonts w:ascii="Century" w:hAnsi="Century"/>
          <w:rtl/>
        </w:rPr>
        <w:tab/>
      </w:r>
      <w:r w:rsidRPr="00FC4A43">
        <w:rPr>
          <w:rFonts w:ascii="Century" w:hAnsi="Century"/>
          <w:rtl/>
        </w:rPr>
        <w:tab/>
      </w:r>
      <w:r w:rsidRPr="00FC4A43">
        <w:rPr>
          <w:rFonts w:ascii="Century" w:hAnsi="Century"/>
          <w:rtl/>
        </w:rPr>
        <w:tab/>
      </w:r>
      <w:r w:rsidRPr="00FC4A43">
        <w:rPr>
          <w:rFonts w:ascii="Century" w:hAnsi="Century"/>
          <w:rtl/>
        </w:rPr>
        <w:tab/>
      </w:r>
      <w:r w:rsidRPr="00FC4A43">
        <w:rPr>
          <w:rFonts w:ascii="Century" w:hAnsi="Century"/>
          <w:rtl/>
        </w:rPr>
        <w:tab/>
      </w:r>
      <w:r w:rsidRPr="00FC4A43">
        <w:rPr>
          <w:rFonts w:ascii="Century" w:hAnsi="Century"/>
          <w:rtl/>
        </w:rPr>
        <w:tab/>
      </w:r>
      <w:r w:rsidRPr="00FC4A43">
        <w:rPr>
          <w:rFonts w:ascii="Century" w:hAnsi="Century"/>
          <w:rtl/>
        </w:rPr>
        <w:tab/>
      </w:r>
      <w:r w:rsidRPr="00FC4A43">
        <w:rPr>
          <w:rFonts w:ascii="Century" w:hAnsi="Century"/>
          <w:rtl/>
        </w:rPr>
        <w:tab/>
      </w:r>
    </w:p>
    <w:tbl>
      <w:tblPr>
        <w:bidiVisual/>
        <w:tblW w:w="8363" w:type="dxa"/>
        <w:tblLook w:val="01E0" w:firstRow="1" w:lastRow="1" w:firstColumn="1" w:lastColumn="1" w:noHBand="0" w:noVBand="0"/>
      </w:tblPr>
      <w:tblGrid>
        <w:gridCol w:w="2786"/>
        <w:gridCol w:w="2787"/>
        <w:gridCol w:w="2790"/>
      </w:tblGrid>
      <w:tr w:rsidR="008C6885" w:rsidRPr="000A1340" w:rsidTr="008835E9">
        <w:tc>
          <w:tcPr>
            <w:tcW w:w="2842" w:type="dxa"/>
            <w:hideMark/>
          </w:tcPr>
          <w:p w:rsidR="008C6885" w:rsidRPr="000A1340" w:rsidRDefault="008C6885" w:rsidP="008835E9">
            <w:pPr>
              <w:pStyle w:val="Ruller40"/>
            </w:pPr>
          </w:p>
        </w:tc>
        <w:tc>
          <w:tcPr>
            <w:tcW w:w="2843" w:type="dxa"/>
            <w:hideMark/>
          </w:tcPr>
          <w:p w:rsidR="008C6885" w:rsidRPr="000A1340" w:rsidRDefault="008C6885" w:rsidP="008835E9">
            <w:pPr>
              <w:pStyle w:val="Ruller40"/>
              <w:jc w:val="center"/>
              <w:rPr>
                <w:rtl/>
              </w:rPr>
            </w:pPr>
          </w:p>
        </w:tc>
        <w:tc>
          <w:tcPr>
            <w:tcW w:w="2843" w:type="dxa"/>
            <w:hideMark/>
          </w:tcPr>
          <w:p w:rsidR="008C6885" w:rsidRPr="000A1340" w:rsidRDefault="008C6885" w:rsidP="008835E9">
            <w:pPr>
              <w:pStyle w:val="Ruller40"/>
              <w:jc w:val="center"/>
              <w:rPr>
                <w:rtl/>
              </w:rPr>
            </w:pPr>
            <w:r w:rsidRPr="000A1340">
              <w:rPr>
                <w:rtl/>
              </w:rPr>
              <w:t xml:space="preserve">ש ו פ ט </w:t>
            </w:r>
          </w:p>
        </w:tc>
      </w:tr>
    </w:tbl>
    <w:p w:rsidR="008C6885" w:rsidRDefault="008C6885" w:rsidP="008C6885">
      <w:pPr>
        <w:pStyle w:val="Ruller40"/>
        <w:rPr>
          <w:rtl/>
        </w:rPr>
      </w:pPr>
    </w:p>
    <w:p w:rsidR="00DA042E" w:rsidRDefault="00DA042E" w:rsidP="008C6885">
      <w:pPr>
        <w:pStyle w:val="Ruller40"/>
        <w:rPr>
          <w:rtl/>
        </w:rPr>
      </w:pPr>
    </w:p>
    <w:p w:rsidR="00DA042E" w:rsidRDefault="00DA042E" w:rsidP="008C6885">
      <w:pPr>
        <w:pStyle w:val="Ruller40"/>
        <w:rPr>
          <w:rtl/>
        </w:rPr>
      </w:pPr>
    </w:p>
    <w:p w:rsidR="00DA042E" w:rsidRDefault="00DA042E" w:rsidP="008C6885">
      <w:pPr>
        <w:pStyle w:val="Ruller40"/>
        <w:rPr>
          <w:rtl/>
        </w:rPr>
      </w:pPr>
    </w:p>
    <w:p w:rsidR="008C6885" w:rsidRDefault="008C6885" w:rsidP="008C6885">
      <w:pPr>
        <w:rPr>
          <w:sz w:val="28"/>
          <w:rtl/>
        </w:rPr>
      </w:pPr>
      <w:r w:rsidRPr="00A35A57">
        <w:rPr>
          <w:rFonts w:cs="Miriam" w:hint="eastAsia"/>
          <w:b/>
          <w:sz w:val="22"/>
          <w:u w:val="single"/>
          <w:rtl/>
        </w:rPr>
        <w:t>השופט</w:t>
      </w:r>
      <w:r w:rsidRPr="00A35A57">
        <w:rPr>
          <w:rFonts w:cs="Miriam"/>
          <w:b/>
          <w:sz w:val="22"/>
          <w:u w:val="single"/>
          <w:rtl/>
        </w:rPr>
        <w:t xml:space="preserve"> </w:t>
      </w:r>
      <w:r w:rsidRPr="00A35A57">
        <w:rPr>
          <w:rFonts w:cs="Miriam" w:hint="eastAsia"/>
          <w:b/>
          <w:sz w:val="22"/>
          <w:u w:val="single"/>
          <w:rtl/>
        </w:rPr>
        <w:t>ע</w:t>
      </w:r>
      <w:r w:rsidRPr="00A35A57">
        <w:rPr>
          <w:rFonts w:cs="Miriam"/>
          <w:b/>
          <w:sz w:val="22"/>
          <w:u w:val="single"/>
          <w:rtl/>
        </w:rPr>
        <w:t xml:space="preserve">' </w:t>
      </w:r>
      <w:r w:rsidRPr="00A35A57">
        <w:rPr>
          <w:rFonts w:cs="Miriam" w:hint="eastAsia"/>
          <w:b/>
          <w:sz w:val="22"/>
          <w:u w:val="single"/>
          <w:rtl/>
        </w:rPr>
        <w:t>פוגלמן</w:t>
      </w:r>
      <w:r>
        <w:rPr>
          <w:rFonts w:cs="Miriam" w:hint="cs"/>
          <w:b/>
          <w:sz w:val="22"/>
          <w:rtl/>
        </w:rPr>
        <w:t>:</w:t>
      </w:r>
    </w:p>
    <w:p w:rsidR="008C6885" w:rsidRDefault="008C6885" w:rsidP="008C6885">
      <w:pPr>
        <w:spacing w:line="360" w:lineRule="auto"/>
        <w:ind w:firstLine="720"/>
        <w:jc w:val="both"/>
        <w:rPr>
          <w:rFonts w:ascii="Century" w:hAnsi="Century" w:cs="FrankRuehl"/>
          <w:spacing w:val="10"/>
          <w:sz w:val="22"/>
          <w:szCs w:val="28"/>
          <w:rtl/>
        </w:rPr>
      </w:pPr>
    </w:p>
    <w:p w:rsidR="008C6885" w:rsidRPr="001D209E" w:rsidRDefault="00527FD8" w:rsidP="00527FD8">
      <w:pPr>
        <w:pStyle w:val="Ruller4"/>
        <w:numPr>
          <w:ilvl w:val="0"/>
          <w:numId w:val="0"/>
        </w:numPr>
        <w:ind w:left="142"/>
        <w:rPr>
          <w:rFonts w:ascii="Century" w:hAnsi="Century"/>
          <w:sz w:val="22"/>
          <w:rtl/>
        </w:rPr>
      </w:pPr>
      <w:r>
        <w:rPr>
          <w:rFonts w:ascii="Century" w:hAnsi="Century"/>
          <w:sz w:val="22"/>
          <w:rtl/>
        </w:rPr>
        <w:tab/>
      </w:r>
      <w:r w:rsidR="008C6885" w:rsidRPr="001D209E">
        <w:rPr>
          <w:rFonts w:ascii="Century" w:hAnsi="Century" w:hint="cs"/>
          <w:sz w:val="22"/>
          <w:rtl/>
        </w:rPr>
        <w:t xml:space="preserve">אני מצטרף בהסכמה לחוות דעתה של חברתי הנשיאה </w:t>
      </w:r>
      <w:r w:rsidR="008C6885" w:rsidRPr="001D209E">
        <w:rPr>
          <w:rFonts w:ascii="Century" w:hAnsi="Century" w:cs="Miriam" w:hint="eastAsia"/>
          <w:b/>
          <w:sz w:val="22"/>
          <w:rtl/>
        </w:rPr>
        <w:t>א</w:t>
      </w:r>
      <w:r w:rsidR="008C6885" w:rsidRPr="001D209E">
        <w:rPr>
          <w:rFonts w:ascii="Century" w:hAnsi="Century" w:cs="Miriam"/>
          <w:b/>
          <w:sz w:val="22"/>
          <w:rtl/>
        </w:rPr>
        <w:t xml:space="preserve">' </w:t>
      </w:r>
      <w:r w:rsidR="008C6885" w:rsidRPr="001D209E">
        <w:rPr>
          <w:rFonts w:ascii="Century" w:hAnsi="Century" w:cs="Miriam" w:hint="eastAsia"/>
          <w:b/>
          <w:sz w:val="22"/>
          <w:rtl/>
        </w:rPr>
        <w:t>חיות</w:t>
      </w:r>
      <w:r w:rsidR="008C6885" w:rsidRPr="001D209E">
        <w:rPr>
          <w:rFonts w:ascii="Century" w:hAnsi="Century" w:hint="cs"/>
          <w:sz w:val="22"/>
          <w:rtl/>
        </w:rPr>
        <w:t>, ומבקש להוסיף הערה בהתייחס להטלת הרכבת הממשלה על ח"כ נתניהו (כתוארו הרלוונטי במועד הדיון לעניין סוגיה אחרונה זו).</w:t>
      </w:r>
    </w:p>
    <w:p w:rsidR="008C6885" w:rsidRDefault="008C6885" w:rsidP="008C6885">
      <w:pPr>
        <w:spacing w:line="360" w:lineRule="auto"/>
        <w:rPr>
          <w:sz w:val="28"/>
          <w:rtl/>
        </w:rPr>
      </w:pPr>
    </w:p>
    <w:p w:rsidR="008C6885" w:rsidRPr="008C6885" w:rsidRDefault="008C6885" w:rsidP="008C6885">
      <w:pPr>
        <w:pStyle w:val="Ruller4"/>
        <w:numPr>
          <w:ilvl w:val="0"/>
          <w:numId w:val="12"/>
        </w:numPr>
        <w:rPr>
          <w:sz w:val="28"/>
          <w:rtl/>
        </w:rPr>
      </w:pPr>
      <w:r>
        <w:rPr>
          <w:rFonts w:hint="cs"/>
          <w:rtl/>
        </w:rPr>
        <w:t>מקובל עליי מתווה ההכרעה של חברתי שלפיו בדיקתנו אינה מוגבלת אך לשאלת תנאי הכשירות הקבועים בחוק וכי בהינתן העיקרון של "כשירות לחוד ושיקול דעת לחוד", שיקול הדעת של הגורם הממנה נתון אף הוא לבחינה. כחברתי אף אני סבור כי הגורם היחיד שהפעיל שיקול דעת שאותו ניתן לבחון בהקשר זה הוא רוב חברי הכנסת. חברתי עמדה על אמות המידה לבחינת שיקול דעתם של רוב חברי הכנסת ומצאה כי לא קיימת</w:t>
      </w:r>
      <w:r w:rsidRPr="000A1340">
        <w:rPr>
          <w:rtl/>
        </w:rPr>
        <w:t xml:space="preserve"> </w:t>
      </w:r>
      <w:r w:rsidRPr="000A1340">
        <w:rPr>
          <w:rFonts w:hint="eastAsia"/>
          <w:rtl/>
        </w:rPr>
        <w:t>עילה</w:t>
      </w:r>
      <w:r w:rsidRPr="000A1340">
        <w:rPr>
          <w:rtl/>
        </w:rPr>
        <w:t xml:space="preserve"> </w:t>
      </w:r>
      <w:r w:rsidRPr="000A1340">
        <w:rPr>
          <w:rFonts w:hint="eastAsia"/>
          <w:rtl/>
        </w:rPr>
        <w:t>משפטית</w:t>
      </w:r>
      <w:r w:rsidRPr="000A1340">
        <w:rPr>
          <w:rtl/>
        </w:rPr>
        <w:t xml:space="preserve"> </w:t>
      </w:r>
      <w:r w:rsidRPr="000A1340">
        <w:rPr>
          <w:rFonts w:hint="eastAsia"/>
          <w:rtl/>
        </w:rPr>
        <w:t>למנוע</w:t>
      </w:r>
      <w:r w:rsidRPr="000A1340">
        <w:rPr>
          <w:rtl/>
        </w:rPr>
        <w:t xml:space="preserve"> </w:t>
      </w:r>
      <w:r w:rsidRPr="000A1340">
        <w:rPr>
          <w:rFonts w:hint="eastAsia"/>
          <w:rtl/>
        </w:rPr>
        <w:t>את</w:t>
      </w:r>
      <w:r w:rsidRPr="000A1340">
        <w:rPr>
          <w:rtl/>
        </w:rPr>
        <w:t xml:space="preserve"> </w:t>
      </w:r>
      <w:r w:rsidRPr="000A1340">
        <w:rPr>
          <w:rFonts w:hint="eastAsia"/>
          <w:rtl/>
        </w:rPr>
        <w:t>הטלת</w:t>
      </w:r>
      <w:r w:rsidRPr="000A1340">
        <w:rPr>
          <w:rtl/>
        </w:rPr>
        <w:t xml:space="preserve"> </w:t>
      </w:r>
      <w:r w:rsidRPr="000A1340">
        <w:rPr>
          <w:rFonts w:hint="eastAsia"/>
          <w:rtl/>
        </w:rPr>
        <w:t>הרכבת</w:t>
      </w:r>
      <w:r w:rsidRPr="000A1340">
        <w:rPr>
          <w:rtl/>
        </w:rPr>
        <w:t xml:space="preserve"> </w:t>
      </w:r>
      <w:r w:rsidRPr="000A1340">
        <w:rPr>
          <w:rFonts w:hint="eastAsia"/>
          <w:rtl/>
        </w:rPr>
        <w:t>הממשלה</w:t>
      </w:r>
      <w:r w:rsidRPr="000A1340">
        <w:rPr>
          <w:rtl/>
        </w:rPr>
        <w:t xml:space="preserve"> </w:t>
      </w:r>
      <w:r w:rsidRPr="000A1340">
        <w:rPr>
          <w:rFonts w:hint="eastAsia"/>
          <w:rtl/>
        </w:rPr>
        <w:t>על</w:t>
      </w:r>
      <w:r w:rsidRPr="000A1340">
        <w:rPr>
          <w:rtl/>
        </w:rPr>
        <w:t xml:space="preserve"> </w:t>
      </w:r>
      <w:r w:rsidRPr="000A1340">
        <w:rPr>
          <w:rFonts w:hint="eastAsia"/>
          <w:rtl/>
        </w:rPr>
        <w:t>ח</w:t>
      </w:r>
      <w:r w:rsidRPr="000A1340">
        <w:rPr>
          <w:rtl/>
        </w:rPr>
        <w:t>"</w:t>
      </w:r>
      <w:r w:rsidRPr="000A1340">
        <w:rPr>
          <w:rFonts w:hint="eastAsia"/>
          <w:rtl/>
        </w:rPr>
        <w:t>כ</w:t>
      </w:r>
      <w:r w:rsidRPr="000A1340">
        <w:rPr>
          <w:rtl/>
        </w:rPr>
        <w:t xml:space="preserve"> </w:t>
      </w:r>
      <w:r w:rsidRPr="000A1340">
        <w:rPr>
          <w:rFonts w:hint="eastAsia"/>
          <w:rtl/>
        </w:rPr>
        <w:t>נתניהו</w:t>
      </w:r>
      <w:r>
        <w:rPr>
          <w:rFonts w:hint="cs"/>
          <w:rtl/>
        </w:rPr>
        <w:t xml:space="preserve"> על ידם </w:t>
      </w:r>
      <w:r w:rsidRPr="000A1340">
        <w:rPr>
          <w:rFonts w:hint="eastAsia"/>
          <w:rtl/>
        </w:rPr>
        <w:t>מתוקף</w:t>
      </w:r>
      <w:r w:rsidRPr="000A1340">
        <w:rPr>
          <w:rtl/>
        </w:rPr>
        <w:t xml:space="preserve"> </w:t>
      </w:r>
      <w:r w:rsidRPr="00160E9D">
        <w:rPr>
          <w:rFonts w:hint="eastAsia"/>
          <w:rtl/>
        </w:rPr>
        <w:t>סעיף</w:t>
      </w:r>
      <w:r w:rsidRPr="00160E9D">
        <w:rPr>
          <w:rtl/>
        </w:rPr>
        <w:t xml:space="preserve"> 10</w:t>
      </w:r>
      <w:r w:rsidRPr="000A1340">
        <w:rPr>
          <w:rtl/>
        </w:rPr>
        <w:t xml:space="preserve"> </w:t>
      </w:r>
      <w:r w:rsidRPr="000A1340">
        <w:rPr>
          <w:rFonts w:hint="eastAsia"/>
          <w:rtl/>
        </w:rPr>
        <w:t>לחוק</w:t>
      </w:r>
      <w:r>
        <w:rPr>
          <w:rFonts w:hint="cs"/>
          <w:rtl/>
        </w:rPr>
        <w:t>-</w:t>
      </w:r>
      <w:r w:rsidRPr="000A1340">
        <w:rPr>
          <w:rFonts w:hint="eastAsia"/>
          <w:rtl/>
        </w:rPr>
        <w:t>יסוד</w:t>
      </w:r>
      <w:r>
        <w:rPr>
          <w:rFonts w:hint="cs"/>
          <w:rtl/>
        </w:rPr>
        <w:t xml:space="preserve">: הממשלה בנסיבות דנן. בצד האמור </w:t>
      </w:r>
      <w:bookmarkStart w:id="7" w:name="Carmel"/>
      <w:bookmarkEnd w:id="7"/>
      <w:r>
        <w:rPr>
          <w:rFonts w:hint="cs"/>
          <w:rtl/>
        </w:rPr>
        <w:t>ציינה כי ה</w:t>
      </w:r>
      <w:r w:rsidRPr="000A1340">
        <w:rPr>
          <w:rtl/>
        </w:rPr>
        <w:t>מסקנה המשפטית שאליה הגענו אין בה כדי להמעיט מחומרת האישומים התלויים ועומדים נגד ח"כ נתניהו בעבירות על טוהר המידות, ומהקושי הנגזר מכהונה של ראש ממשלה הנאשם בפלילים</w:t>
      </w:r>
      <w:r w:rsidRPr="008C6885">
        <w:rPr>
          <w:rFonts w:hint="cs"/>
          <w:sz w:val="28"/>
          <w:rtl/>
        </w:rPr>
        <w:t>. אני מסכים גם לדבריה אלה ומבקש להדגיש את השקפתי בעניין זה.</w:t>
      </w:r>
    </w:p>
    <w:p w:rsidR="008C6885" w:rsidRDefault="008C6885" w:rsidP="008C6885">
      <w:pPr>
        <w:pStyle w:val="Ruller40"/>
        <w:rPr>
          <w:rtl/>
        </w:rPr>
      </w:pPr>
    </w:p>
    <w:p w:rsidR="008C6885" w:rsidRDefault="008C6885" w:rsidP="008C6885">
      <w:pPr>
        <w:pStyle w:val="Ruller4"/>
        <w:rPr>
          <w:rtl/>
        </w:rPr>
      </w:pPr>
      <w:r>
        <w:rPr>
          <w:rFonts w:hint="cs"/>
          <w:rtl/>
        </w:rPr>
        <w:t xml:space="preserve">בעניין </w:t>
      </w:r>
      <w:r w:rsidRPr="00A35A57">
        <w:rPr>
          <w:rFonts w:ascii="Century" w:hAnsi="Century" w:cs="Miriam" w:hint="eastAsia"/>
          <w:b/>
          <w:spacing w:val="0"/>
          <w:szCs w:val="24"/>
          <w:rtl/>
        </w:rPr>
        <w:t>דרעי</w:t>
      </w:r>
      <w:r w:rsidRPr="001058D6">
        <w:rPr>
          <w:rtl/>
        </w:rPr>
        <w:t xml:space="preserve"> </w:t>
      </w:r>
      <w:r>
        <w:rPr>
          <w:rFonts w:hint="cs"/>
          <w:rtl/>
        </w:rPr>
        <w:t xml:space="preserve">ובעניין </w:t>
      </w:r>
      <w:r w:rsidRPr="00A35A57">
        <w:rPr>
          <w:rFonts w:ascii="Century" w:hAnsi="Century" w:cs="Miriam" w:hint="eastAsia"/>
          <w:b/>
          <w:spacing w:val="0"/>
          <w:szCs w:val="24"/>
          <w:rtl/>
        </w:rPr>
        <w:t>פנחסי</w:t>
      </w:r>
      <w:r w:rsidRPr="001058D6">
        <w:rPr>
          <w:rtl/>
        </w:rPr>
        <w:t xml:space="preserve"> </w:t>
      </w:r>
      <w:r>
        <w:rPr>
          <w:rFonts w:hint="cs"/>
          <w:rtl/>
        </w:rPr>
        <w:t>פסק בית משפט זה כי</w:t>
      </w:r>
      <w:r>
        <w:rPr>
          <w:rtl/>
        </w:rPr>
        <w:t xml:space="preserve"> כהונ</w:t>
      </w:r>
      <w:r>
        <w:rPr>
          <w:rFonts w:hint="cs"/>
          <w:rtl/>
        </w:rPr>
        <w:t>ה</w:t>
      </w:r>
      <w:r>
        <w:rPr>
          <w:rtl/>
        </w:rPr>
        <w:t xml:space="preserve"> של </w:t>
      </w:r>
      <w:r>
        <w:rPr>
          <w:rFonts w:hint="cs"/>
          <w:rtl/>
        </w:rPr>
        <w:t>שר ו</w:t>
      </w:r>
      <w:r>
        <w:rPr>
          <w:rtl/>
        </w:rPr>
        <w:t>סגן</w:t>
      </w:r>
      <w:r>
        <w:rPr>
          <w:rFonts w:hint="cs"/>
          <w:rtl/>
        </w:rPr>
        <w:t xml:space="preserve"> שר </w:t>
      </w:r>
      <w:r>
        <w:rPr>
          <w:rtl/>
        </w:rPr>
        <w:t>אשר לגביו קיימות ראיות שנמצאו מספיקות על</w:t>
      </w:r>
      <w:r>
        <w:rPr>
          <w:rFonts w:hint="cs"/>
          <w:rtl/>
        </w:rPr>
        <w:t xml:space="preserve"> </w:t>
      </w:r>
      <w:r>
        <w:rPr>
          <w:rtl/>
        </w:rPr>
        <w:t>ידי היועץ המשפטי לממשלה להגשת כתב</w:t>
      </w:r>
      <w:r>
        <w:rPr>
          <w:rFonts w:hint="cs"/>
          <w:rtl/>
        </w:rPr>
        <w:t xml:space="preserve"> </w:t>
      </w:r>
      <w:r>
        <w:rPr>
          <w:rtl/>
        </w:rPr>
        <w:t>אישום</w:t>
      </w:r>
      <w:r>
        <w:rPr>
          <w:rFonts w:hint="cs"/>
          <w:rtl/>
        </w:rPr>
        <w:t xml:space="preserve"> בעבירות חמורות</w:t>
      </w:r>
      <w:r>
        <w:rPr>
          <w:rtl/>
        </w:rPr>
        <w:t xml:space="preserve"> </w:t>
      </w:r>
      <w:r>
        <w:rPr>
          <w:rFonts w:hint="cs"/>
          <w:rtl/>
        </w:rPr>
        <w:t xml:space="preserve">עלולה </w:t>
      </w:r>
      <w:r>
        <w:rPr>
          <w:rtl/>
        </w:rPr>
        <w:t>לפגוע באמון הציבור ברשויות השלטון</w:t>
      </w:r>
      <w:r>
        <w:rPr>
          <w:rFonts w:hint="cs"/>
          <w:rtl/>
        </w:rPr>
        <w:t>.</w:t>
      </w:r>
      <w:r>
        <w:rPr>
          <w:rtl/>
        </w:rPr>
        <w:t xml:space="preserve"> </w:t>
      </w:r>
      <w:r>
        <w:rPr>
          <w:rFonts w:hint="cs"/>
          <w:rtl/>
        </w:rPr>
        <w:t xml:space="preserve">לפיכך, כאשר שוקל </w:t>
      </w:r>
      <w:r>
        <w:rPr>
          <w:rtl/>
        </w:rPr>
        <w:t>ר</w:t>
      </w:r>
      <w:r>
        <w:rPr>
          <w:rFonts w:hint="cs"/>
          <w:rtl/>
        </w:rPr>
        <w:t xml:space="preserve">אש הממשלה אם להפעיל את סמכות הפיטורין שהוקנתה לו בחוק-יסוד: הממשלה, עליו ליתן לשיקול זה משקל רב ונכבד, </w:t>
      </w:r>
      <w:r>
        <w:rPr>
          <w:rtl/>
        </w:rPr>
        <w:t>שכן יכולתו של השלטון לשלוט מבוססת על אמון הציבור ב</w:t>
      </w:r>
      <w:r>
        <w:rPr>
          <w:rFonts w:hint="cs"/>
          <w:rtl/>
        </w:rPr>
        <w:t>משרתי</w:t>
      </w:r>
      <w:r>
        <w:rPr>
          <w:rtl/>
        </w:rPr>
        <w:t>ו</w:t>
      </w:r>
      <w:r>
        <w:rPr>
          <w:rFonts w:hint="cs"/>
          <w:rtl/>
        </w:rPr>
        <w:t xml:space="preserve"> (בג"ץ 3094/93 </w:t>
      </w:r>
      <w:r w:rsidRPr="00A35A57">
        <w:rPr>
          <w:rFonts w:ascii="Century" w:hAnsi="Century" w:cs="Miriam" w:hint="eastAsia"/>
          <w:b/>
          <w:spacing w:val="0"/>
          <w:szCs w:val="24"/>
          <w:rtl/>
        </w:rPr>
        <w:t>התנועה</w:t>
      </w:r>
      <w:r w:rsidRPr="00A35A57">
        <w:rPr>
          <w:rFonts w:ascii="Century" w:hAnsi="Century" w:cs="Miriam"/>
          <w:b/>
          <w:spacing w:val="0"/>
          <w:szCs w:val="24"/>
          <w:rtl/>
        </w:rPr>
        <w:t xml:space="preserve"> </w:t>
      </w:r>
      <w:r w:rsidRPr="00A35A57">
        <w:rPr>
          <w:rFonts w:ascii="Century" w:hAnsi="Century" w:cs="Miriam" w:hint="eastAsia"/>
          <w:b/>
          <w:spacing w:val="0"/>
          <w:szCs w:val="24"/>
          <w:rtl/>
        </w:rPr>
        <w:t>למען</w:t>
      </w:r>
      <w:r w:rsidRPr="00A35A57">
        <w:rPr>
          <w:rFonts w:ascii="Century" w:hAnsi="Century" w:cs="Miriam"/>
          <w:b/>
          <w:spacing w:val="0"/>
          <w:szCs w:val="24"/>
          <w:rtl/>
        </w:rPr>
        <w:t xml:space="preserve"> </w:t>
      </w:r>
      <w:r w:rsidRPr="00A35A57">
        <w:rPr>
          <w:rFonts w:ascii="Century" w:hAnsi="Century" w:cs="Miriam" w:hint="eastAsia"/>
          <w:b/>
          <w:spacing w:val="0"/>
          <w:szCs w:val="24"/>
          <w:rtl/>
        </w:rPr>
        <w:t>איכות</w:t>
      </w:r>
      <w:r w:rsidRPr="00A35A57">
        <w:rPr>
          <w:rFonts w:ascii="Century" w:hAnsi="Century" w:cs="Miriam"/>
          <w:b/>
          <w:spacing w:val="0"/>
          <w:szCs w:val="24"/>
          <w:rtl/>
        </w:rPr>
        <w:t xml:space="preserve"> </w:t>
      </w:r>
      <w:r w:rsidRPr="00A35A57">
        <w:rPr>
          <w:rFonts w:ascii="Century" w:hAnsi="Century" w:cs="Miriam" w:hint="eastAsia"/>
          <w:b/>
          <w:spacing w:val="0"/>
          <w:szCs w:val="24"/>
          <w:rtl/>
        </w:rPr>
        <w:t>השלטון</w:t>
      </w:r>
      <w:r w:rsidRPr="00A35A57">
        <w:rPr>
          <w:rFonts w:ascii="Century" w:hAnsi="Century" w:cs="Miriam"/>
          <w:b/>
          <w:spacing w:val="0"/>
          <w:szCs w:val="24"/>
          <w:rtl/>
        </w:rPr>
        <w:t xml:space="preserve"> </w:t>
      </w:r>
      <w:r w:rsidRPr="00A35A57">
        <w:rPr>
          <w:rFonts w:ascii="Century" w:hAnsi="Century" w:cs="Miriam" w:hint="eastAsia"/>
          <w:b/>
          <w:spacing w:val="0"/>
          <w:szCs w:val="24"/>
          <w:rtl/>
        </w:rPr>
        <w:t>בישראל</w:t>
      </w:r>
      <w:r w:rsidRPr="00A35A57">
        <w:rPr>
          <w:rFonts w:ascii="Century" w:hAnsi="Century" w:cs="Miriam"/>
          <w:b/>
          <w:spacing w:val="0"/>
          <w:szCs w:val="24"/>
          <w:rtl/>
        </w:rPr>
        <w:t xml:space="preserve"> </w:t>
      </w:r>
      <w:r w:rsidRPr="00A35A57">
        <w:rPr>
          <w:rFonts w:ascii="Century" w:hAnsi="Century" w:cs="Miriam" w:hint="eastAsia"/>
          <w:b/>
          <w:spacing w:val="0"/>
          <w:szCs w:val="24"/>
          <w:rtl/>
        </w:rPr>
        <w:t>נ</w:t>
      </w:r>
      <w:r w:rsidRPr="00A35A57">
        <w:rPr>
          <w:rFonts w:ascii="Century" w:hAnsi="Century" w:cs="Miriam"/>
          <w:b/>
          <w:spacing w:val="0"/>
          <w:szCs w:val="24"/>
          <w:rtl/>
        </w:rPr>
        <w:t xml:space="preserve">' </w:t>
      </w:r>
      <w:r w:rsidRPr="00A35A57">
        <w:rPr>
          <w:rFonts w:ascii="Century" w:hAnsi="Century" w:cs="Miriam" w:hint="eastAsia"/>
          <w:b/>
          <w:spacing w:val="0"/>
          <w:szCs w:val="24"/>
          <w:rtl/>
        </w:rPr>
        <w:t>ממשלת</w:t>
      </w:r>
      <w:r w:rsidRPr="00A35A57">
        <w:rPr>
          <w:rFonts w:ascii="Century" w:hAnsi="Century" w:cs="Miriam"/>
          <w:b/>
          <w:spacing w:val="0"/>
          <w:szCs w:val="24"/>
          <w:rtl/>
        </w:rPr>
        <w:t xml:space="preserve"> </w:t>
      </w:r>
      <w:r w:rsidRPr="00A35A57">
        <w:rPr>
          <w:rFonts w:ascii="Century" w:hAnsi="Century" w:cs="Miriam" w:hint="eastAsia"/>
          <w:b/>
          <w:spacing w:val="0"/>
          <w:szCs w:val="24"/>
          <w:rtl/>
        </w:rPr>
        <w:t>ישראל</w:t>
      </w:r>
      <w:r>
        <w:rPr>
          <w:rFonts w:hint="cs"/>
          <w:rtl/>
        </w:rPr>
        <w:t xml:space="preserve">, פ"ד מז(5) 404, 424-421 (1993) </w:t>
      </w:r>
      <w:r>
        <w:rPr>
          <w:rtl/>
        </w:rPr>
        <w:t>(</w:t>
      </w:r>
      <w:r>
        <w:rPr>
          <w:rFonts w:hint="eastAsia"/>
          <w:rtl/>
        </w:rPr>
        <w:t>להלן</w:t>
      </w:r>
      <w:r w:rsidRPr="00A35A57">
        <w:rPr>
          <w:rFonts w:ascii="Century" w:hAnsi="Century"/>
          <w:sz w:val="22"/>
          <w:rtl/>
        </w:rPr>
        <w:t xml:space="preserve">: </w:t>
      </w:r>
      <w:r w:rsidRPr="00A35A57">
        <w:rPr>
          <w:rFonts w:ascii="Century" w:hAnsi="Century" w:hint="eastAsia"/>
          <w:sz w:val="22"/>
          <w:rtl/>
        </w:rPr>
        <w:t>עניין</w:t>
      </w:r>
      <w:r w:rsidRPr="00030EEB">
        <w:rPr>
          <w:rFonts w:ascii="Century" w:hAnsi="Century" w:cs="Miriam"/>
          <w:b/>
          <w:spacing w:val="0"/>
          <w:sz w:val="22"/>
          <w:szCs w:val="24"/>
          <w:rtl/>
        </w:rPr>
        <w:t xml:space="preserve"> </w:t>
      </w:r>
      <w:r>
        <w:rPr>
          <w:rFonts w:ascii="Century" w:hAnsi="Century" w:cs="Miriam" w:hint="cs"/>
          <w:b/>
          <w:spacing w:val="0"/>
          <w:sz w:val="22"/>
          <w:szCs w:val="24"/>
          <w:rtl/>
        </w:rPr>
        <w:t>דרעי</w:t>
      </w:r>
      <w:r>
        <w:rPr>
          <w:rFonts w:ascii="Century" w:hAnsi="Century" w:hint="cs"/>
          <w:sz w:val="22"/>
          <w:rtl/>
        </w:rPr>
        <w:t>)</w:t>
      </w:r>
      <w:r>
        <w:rPr>
          <w:rFonts w:hint="cs"/>
          <w:rtl/>
        </w:rPr>
        <w:t xml:space="preserve">; בג"ץ 4267/93 </w:t>
      </w:r>
      <w:r w:rsidRPr="00A35A57">
        <w:rPr>
          <w:rFonts w:ascii="Century" w:hAnsi="Century" w:cs="Miriam" w:hint="eastAsia"/>
          <w:b/>
          <w:spacing w:val="0"/>
          <w:szCs w:val="24"/>
          <w:rtl/>
        </w:rPr>
        <w:t>אמיתי</w:t>
      </w:r>
      <w:r w:rsidRPr="00A35A57">
        <w:rPr>
          <w:rFonts w:ascii="Century" w:hAnsi="Century" w:cs="Miriam"/>
          <w:b/>
          <w:spacing w:val="0"/>
          <w:szCs w:val="24"/>
          <w:rtl/>
        </w:rPr>
        <w:t xml:space="preserve"> – אזרחים למען </w:t>
      </w:r>
      <w:r w:rsidRPr="00A35A57">
        <w:rPr>
          <w:rFonts w:ascii="Century" w:hAnsi="Century" w:cs="Miriam" w:hint="eastAsia"/>
          <w:b/>
          <w:spacing w:val="0"/>
          <w:szCs w:val="24"/>
          <w:rtl/>
        </w:rPr>
        <w:t>מינהל</w:t>
      </w:r>
      <w:r w:rsidRPr="00A35A57">
        <w:rPr>
          <w:rFonts w:ascii="Century" w:hAnsi="Century" w:cs="Miriam"/>
          <w:b/>
          <w:spacing w:val="0"/>
          <w:szCs w:val="24"/>
          <w:rtl/>
        </w:rPr>
        <w:t xml:space="preserve"> תקין וטוהר המידות נ' ראש ממשלת ישראל</w:t>
      </w:r>
      <w:r>
        <w:rPr>
          <w:rFonts w:hint="cs"/>
          <w:rtl/>
        </w:rPr>
        <w:t xml:space="preserve">, פ"ד מז(5) 441, </w:t>
      </w:r>
      <w:r w:rsidRPr="00F133BD">
        <w:rPr>
          <w:rtl/>
        </w:rPr>
        <w:t xml:space="preserve">461 </w:t>
      </w:r>
      <w:r w:rsidRPr="00F133BD">
        <w:rPr>
          <w:rFonts w:hint="eastAsia"/>
          <w:rtl/>
        </w:rPr>
        <w:t>ו</w:t>
      </w:r>
      <w:r w:rsidRPr="00F133BD">
        <w:rPr>
          <w:rtl/>
        </w:rPr>
        <w:t>-469 (</w:t>
      </w:r>
      <w:r>
        <w:rPr>
          <w:rFonts w:hint="cs"/>
          <w:rtl/>
        </w:rPr>
        <w:t>1993))</w:t>
      </w:r>
      <w:r>
        <w:rPr>
          <w:rtl/>
        </w:rPr>
        <w:t>.</w:t>
      </w:r>
      <w:r>
        <w:rPr>
          <w:rFonts w:hint="cs"/>
          <w:rtl/>
        </w:rPr>
        <w:t xml:space="preserve"> על נושאי משרה כה גבוהה, העומדים בראש משרד ממשלתי לשמש דוגמה ומופת לציבור, להבטיח מינהל תקין וטוהר שירות ולהיות ראויים לאמון שהעם נתן בהם (שם, בעמ' 471-470 ו-</w:t>
      </w:r>
      <w:r w:rsidRPr="00F133BD">
        <w:rPr>
          <w:rtl/>
        </w:rPr>
        <w:t>474</w:t>
      </w:r>
      <w:r>
        <w:rPr>
          <w:rFonts w:hint="cs"/>
          <w:rtl/>
        </w:rPr>
        <w:t xml:space="preserve">; עניין </w:t>
      </w:r>
      <w:r w:rsidRPr="00A35A57">
        <w:rPr>
          <w:rFonts w:ascii="Century" w:hAnsi="Century" w:cs="Miriam" w:hint="eastAsia"/>
          <w:b/>
          <w:spacing w:val="0"/>
          <w:sz w:val="22"/>
          <w:szCs w:val="24"/>
          <w:rtl/>
        </w:rPr>
        <w:t>דרעי</w:t>
      </w:r>
      <w:r>
        <w:rPr>
          <w:rFonts w:hint="cs"/>
          <w:rtl/>
        </w:rPr>
        <w:t>, בעמ' 422 ו-427). בפרשות דרעי ופנחסי, נסבה הביקורת השיפוטית על החלטה מינהלית של ראש הממשלה לפי הוראות סעיפים 21א ו-36א לחוק-יסוד: הממשלה (דאז), לפי כללי המשפט המינהלי ובהם עילת הסבירות, ונפסק כי החלטת ראש הממשלה, שנמנע מפיטורי נושאי המשרה האמורים, חורגת ממתחם הסבירות משלא ניתן משקל מתאים לשיקול בדבר אמון הציבור. כפי שהסבירו חבריי, החלטות אלה עומדות בתקפן, במלוא פרישתן, בכל שאמור בהפעלת שיקול דעת מינהלי.</w:t>
      </w:r>
    </w:p>
    <w:p w:rsidR="008C6885" w:rsidRDefault="008C6885" w:rsidP="008C6885">
      <w:pPr>
        <w:pStyle w:val="Ruller40"/>
        <w:rPr>
          <w:rtl/>
        </w:rPr>
      </w:pPr>
    </w:p>
    <w:p w:rsidR="008C6885" w:rsidRDefault="008C6885" w:rsidP="008C6885">
      <w:pPr>
        <w:pStyle w:val="Ruller4"/>
        <w:rPr>
          <w:rtl/>
        </w:rPr>
      </w:pPr>
      <w:r>
        <w:rPr>
          <w:rFonts w:hint="cs"/>
          <w:rtl/>
        </w:rPr>
        <w:t>העקרונות שנקבעו בפסיקתנו האמורה, מקרינים גם על ענייננו. גם בהעדר תחולה ישירה של החלטות אלו, לא ניתן לכחד כי הטלת תפקיד של הרכבת ממשלה על חבר כנסת שהוגש נגדו כתב אישום המייחס לו עבירות שוחד, מרמה והפרת אמונים פוגעת אף היא באמון הציבור במשרתיו, ואולי אף במידה חריפה יותר מזו עליה עמד בית משפט זה בפרשות דרעי ופנחסי בהינתן מעמדו הרם והמיוחד של ראש הממשלה, כמבואר על ידי חברתי הנשיאה בחוות דעתה.</w:t>
      </w:r>
    </w:p>
    <w:p w:rsidR="008C6885" w:rsidRDefault="008C6885" w:rsidP="008C6885">
      <w:pPr>
        <w:pStyle w:val="Ruller40"/>
        <w:contextualSpacing/>
        <w:rPr>
          <w:rtl/>
        </w:rPr>
      </w:pPr>
    </w:p>
    <w:p w:rsidR="008C6885" w:rsidRDefault="008C6885" w:rsidP="008C6885">
      <w:pPr>
        <w:pStyle w:val="Ruller4"/>
        <w:rPr>
          <w:rtl/>
        </w:rPr>
      </w:pPr>
      <w:r>
        <w:rPr>
          <w:rFonts w:hint="cs"/>
          <w:rtl/>
        </w:rPr>
        <w:t xml:space="preserve">דא עקא, בחירתם של רוב חברי הכנסת לבקש להטיל את הרכבת הממשלה על ח"כ נתניהו, בגדר סמכותם לפי סעיף 10 לחוק-יסוד: הממשלה, אינה החלטה מינהלית כי אם החלטה משטרית ייחודית שמצויה בלב השדה הפוליטי (ועל כך עמדו בצדק חברתי הנשיאה וחברי השופט </w:t>
      </w:r>
      <w:r w:rsidRPr="00A35A57">
        <w:rPr>
          <w:rFonts w:ascii="Century" w:hAnsi="Century" w:cs="Miriam" w:hint="eastAsia"/>
          <w:b/>
          <w:spacing w:val="0"/>
          <w:szCs w:val="24"/>
          <w:rtl/>
        </w:rPr>
        <w:t>י</w:t>
      </w:r>
      <w:r w:rsidRPr="00A35A57">
        <w:rPr>
          <w:rFonts w:ascii="Century" w:hAnsi="Century" w:cs="Miriam"/>
          <w:b/>
          <w:spacing w:val="0"/>
          <w:szCs w:val="24"/>
          <w:rtl/>
        </w:rPr>
        <w:t xml:space="preserve">' </w:t>
      </w:r>
      <w:r w:rsidRPr="00A35A57">
        <w:rPr>
          <w:rFonts w:ascii="Century" w:hAnsi="Century" w:cs="Miriam" w:hint="eastAsia"/>
          <w:b/>
          <w:spacing w:val="0"/>
          <w:szCs w:val="24"/>
          <w:rtl/>
        </w:rPr>
        <w:t>עמית</w:t>
      </w:r>
      <w:r>
        <w:rPr>
          <w:rFonts w:hint="cs"/>
          <w:rtl/>
        </w:rPr>
        <w:t xml:space="preserve">). כידוע, היקף הביקורת השיפוטית על החלטות הכנסת, נלמד בין היתר מסוג ההחלטה העומדת לביקורת. כך למשל הבחינה הפסיקה, בין היתר, בין החלטות שהן מעשי חקיקה שהושלמו, ובין החלטות שעניינן בהליכים פנים-פרלמנטאריים או החלטות מעין שיפוטיות </w:t>
      </w:r>
      <w:r>
        <w:rPr>
          <w:rtl/>
        </w:rPr>
        <w:t>–</w:t>
      </w:r>
      <w:r>
        <w:rPr>
          <w:rFonts w:hint="cs"/>
          <w:rtl/>
        </w:rPr>
        <w:t xml:space="preserve"> והחילה בעניינן ביקורת שיפוטית לפי אמות מידה המותאמות למהות ההחלטה המבוקרת (ראו למשל בג"ץ 1111/12 </w:t>
      </w:r>
      <w:r w:rsidRPr="00A35A57">
        <w:rPr>
          <w:rFonts w:ascii="Century" w:hAnsi="Century" w:cs="Miriam" w:hint="eastAsia"/>
          <w:b/>
          <w:spacing w:val="0"/>
          <w:szCs w:val="24"/>
          <w:rtl/>
        </w:rPr>
        <w:t>קם</w:t>
      </w:r>
      <w:r w:rsidRPr="00A35A57">
        <w:rPr>
          <w:rFonts w:ascii="Century" w:hAnsi="Century" w:cs="Miriam"/>
          <w:b/>
          <w:spacing w:val="0"/>
          <w:szCs w:val="24"/>
          <w:rtl/>
        </w:rPr>
        <w:t xml:space="preserve"> </w:t>
      </w:r>
      <w:r w:rsidRPr="00A35A57">
        <w:rPr>
          <w:rFonts w:ascii="Century" w:hAnsi="Century" w:cs="Miriam" w:hint="eastAsia"/>
          <w:b/>
          <w:spacing w:val="0"/>
          <w:szCs w:val="24"/>
          <w:rtl/>
        </w:rPr>
        <w:t>נ</w:t>
      </w:r>
      <w:r w:rsidRPr="00A35A57">
        <w:rPr>
          <w:rFonts w:ascii="Century" w:hAnsi="Century" w:cs="Miriam"/>
          <w:b/>
          <w:spacing w:val="0"/>
          <w:szCs w:val="24"/>
          <w:rtl/>
        </w:rPr>
        <w:t xml:space="preserve">' </w:t>
      </w:r>
      <w:r w:rsidRPr="00A35A57">
        <w:rPr>
          <w:rFonts w:ascii="Century" w:hAnsi="Century" w:cs="Miriam" w:hint="eastAsia"/>
          <w:b/>
          <w:spacing w:val="0"/>
          <w:szCs w:val="24"/>
          <w:rtl/>
        </w:rPr>
        <w:t>יושב</w:t>
      </w:r>
      <w:r w:rsidRPr="00A35A57">
        <w:rPr>
          <w:rFonts w:ascii="Century" w:hAnsi="Century" w:cs="Miriam"/>
          <w:b/>
          <w:spacing w:val="0"/>
          <w:szCs w:val="24"/>
          <w:rtl/>
        </w:rPr>
        <w:t xml:space="preserve">-ראש </w:t>
      </w:r>
      <w:r w:rsidRPr="00A35A57">
        <w:rPr>
          <w:rFonts w:ascii="Century" w:hAnsi="Century" w:cs="Miriam" w:hint="eastAsia"/>
          <w:b/>
          <w:spacing w:val="0"/>
          <w:szCs w:val="24"/>
          <w:rtl/>
        </w:rPr>
        <w:t>ועדת</w:t>
      </w:r>
      <w:r w:rsidRPr="00A35A57">
        <w:rPr>
          <w:rFonts w:ascii="Century" w:hAnsi="Century" w:cs="Miriam"/>
          <w:b/>
          <w:spacing w:val="0"/>
          <w:szCs w:val="24"/>
          <w:rtl/>
        </w:rPr>
        <w:t xml:space="preserve"> </w:t>
      </w:r>
      <w:r w:rsidRPr="00A35A57">
        <w:rPr>
          <w:rFonts w:ascii="Century" w:hAnsi="Century" w:cs="Miriam" w:hint="eastAsia"/>
          <w:b/>
          <w:spacing w:val="0"/>
          <w:szCs w:val="24"/>
          <w:rtl/>
        </w:rPr>
        <w:t>החוק</w:t>
      </w:r>
      <w:r w:rsidRPr="00A35A57">
        <w:rPr>
          <w:rFonts w:ascii="Century" w:hAnsi="Century" w:cs="Miriam"/>
          <w:b/>
          <w:spacing w:val="0"/>
          <w:szCs w:val="24"/>
          <w:rtl/>
        </w:rPr>
        <w:t xml:space="preserve"> </w:t>
      </w:r>
      <w:r w:rsidRPr="00A35A57">
        <w:rPr>
          <w:rFonts w:ascii="Century" w:hAnsi="Century" w:cs="Miriam" w:hint="eastAsia"/>
          <w:b/>
          <w:spacing w:val="0"/>
          <w:szCs w:val="24"/>
          <w:rtl/>
        </w:rPr>
        <w:t>חוק</w:t>
      </w:r>
      <w:r w:rsidRPr="00A35A57">
        <w:rPr>
          <w:rFonts w:ascii="Century" w:hAnsi="Century" w:cs="Miriam"/>
          <w:b/>
          <w:spacing w:val="0"/>
          <w:szCs w:val="24"/>
          <w:rtl/>
        </w:rPr>
        <w:t xml:space="preserve"> </w:t>
      </w:r>
      <w:r w:rsidRPr="00A35A57">
        <w:rPr>
          <w:rFonts w:ascii="Century" w:hAnsi="Century" w:cs="Miriam" w:hint="eastAsia"/>
          <w:b/>
          <w:spacing w:val="0"/>
          <w:szCs w:val="24"/>
          <w:rtl/>
        </w:rPr>
        <w:t>ומשפט</w:t>
      </w:r>
      <w:r w:rsidRPr="00A35A57">
        <w:rPr>
          <w:rFonts w:ascii="Century" w:hAnsi="Century" w:cs="Miriam"/>
          <w:b/>
          <w:spacing w:val="0"/>
          <w:szCs w:val="24"/>
          <w:rtl/>
        </w:rPr>
        <w:t xml:space="preserve"> </w:t>
      </w:r>
      <w:r w:rsidRPr="00A35A57">
        <w:rPr>
          <w:rFonts w:ascii="Century" w:hAnsi="Century" w:cs="Miriam" w:hint="eastAsia"/>
          <w:b/>
          <w:spacing w:val="0"/>
          <w:szCs w:val="24"/>
          <w:rtl/>
        </w:rPr>
        <w:t>בכנסת</w:t>
      </w:r>
      <w:r>
        <w:rPr>
          <w:rFonts w:hint="cs"/>
          <w:rtl/>
        </w:rPr>
        <w:t xml:space="preserve">, פסקה 6 (15.4.2012); בג"ץ 7993/07 </w:t>
      </w:r>
      <w:r w:rsidRPr="00A35A57">
        <w:rPr>
          <w:rFonts w:ascii="Century" w:hAnsi="Century" w:cs="Miriam" w:hint="eastAsia"/>
          <w:b/>
          <w:spacing w:val="0"/>
          <w:szCs w:val="24"/>
          <w:rtl/>
        </w:rPr>
        <w:t>פורום</w:t>
      </w:r>
      <w:r w:rsidRPr="00A35A57">
        <w:rPr>
          <w:rFonts w:ascii="Century" w:hAnsi="Century" w:cs="Miriam"/>
          <w:b/>
          <w:spacing w:val="0"/>
          <w:szCs w:val="24"/>
          <w:rtl/>
        </w:rPr>
        <w:t xml:space="preserve"> </w:t>
      </w:r>
      <w:r w:rsidRPr="00A35A57">
        <w:rPr>
          <w:rFonts w:ascii="Century" w:hAnsi="Century" w:cs="Miriam" w:hint="eastAsia"/>
          <w:b/>
          <w:spacing w:val="0"/>
          <w:szCs w:val="24"/>
          <w:rtl/>
        </w:rPr>
        <w:t>משפטי</w:t>
      </w:r>
      <w:r w:rsidRPr="00A35A57">
        <w:rPr>
          <w:rFonts w:ascii="Century" w:hAnsi="Century" w:cs="Miriam"/>
          <w:b/>
          <w:spacing w:val="0"/>
          <w:szCs w:val="24"/>
          <w:rtl/>
        </w:rPr>
        <w:t xml:space="preserve"> </w:t>
      </w:r>
      <w:r w:rsidRPr="00A35A57">
        <w:rPr>
          <w:rFonts w:ascii="Century" w:hAnsi="Century" w:cs="Miriam" w:hint="eastAsia"/>
          <w:b/>
          <w:spacing w:val="0"/>
          <w:szCs w:val="24"/>
          <w:rtl/>
        </w:rPr>
        <w:t>למען</w:t>
      </w:r>
      <w:r w:rsidRPr="00A35A57">
        <w:rPr>
          <w:rFonts w:ascii="Century" w:hAnsi="Century" w:cs="Miriam"/>
          <w:b/>
          <w:spacing w:val="0"/>
          <w:szCs w:val="24"/>
          <w:rtl/>
        </w:rPr>
        <w:t xml:space="preserve"> </w:t>
      </w:r>
      <w:r w:rsidRPr="00A35A57">
        <w:rPr>
          <w:rFonts w:ascii="Century" w:hAnsi="Century" w:cs="Miriam" w:hint="eastAsia"/>
          <w:b/>
          <w:spacing w:val="0"/>
          <w:szCs w:val="24"/>
          <w:rtl/>
        </w:rPr>
        <w:t>ארץ</w:t>
      </w:r>
      <w:r w:rsidRPr="00A35A57">
        <w:rPr>
          <w:rFonts w:ascii="Century" w:hAnsi="Century" w:cs="Miriam"/>
          <w:b/>
          <w:spacing w:val="0"/>
          <w:szCs w:val="24"/>
          <w:rtl/>
        </w:rPr>
        <w:t xml:space="preserve"> </w:t>
      </w:r>
      <w:r w:rsidRPr="00A35A57">
        <w:rPr>
          <w:rFonts w:ascii="Century" w:hAnsi="Century" w:cs="Miriam" w:hint="eastAsia"/>
          <w:b/>
          <w:spacing w:val="0"/>
          <w:szCs w:val="24"/>
          <w:rtl/>
        </w:rPr>
        <w:t>ישראל</w:t>
      </w:r>
      <w:r w:rsidRPr="00A35A57">
        <w:rPr>
          <w:rFonts w:ascii="Century" w:hAnsi="Century" w:cs="Miriam"/>
          <w:b/>
          <w:spacing w:val="0"/>
          <w:szCs w:val="24"/>
          <w:rtl/>
        </w:rPr>
        <w:t xml:space="preserve"> </w:t>
      </w:r>
      <w:r w:rsidRPr="00A35A57">
        <w:rPr>
          <w:rFonts w:ascii="Century" w:hAnsi="Century" w:cs="Miriam" w:hint="eastAsia"/>
          <w:b/>
          <w:spacing w:val="0"/>
          <w:szCs w:val="24"/>
          <w:rtl/>
        </w:rPr>
        <w:t>נ</w:t>
      </w:r>
      <w:r w:rsidRPr="00A35A57">
        <w:rPr>
          <w:rFonts w:ascii="Century" w:hAnsi="Century" w:cs="Miriam"/>
          <w:b/>
          <w:spacing w:val="0"/>
          <w:szCs w:val="24"/>
          <w:rtl/>
        </w:rPr>
        <w:t xml:space="preserve">' </w:t>
      </w:r>
      <w:r w:rsidRPr="00A35A57">
        <w:rPr>
          <w:rFonts w:ascii="Century" w:hAnsi="Century" w:cs="Miriam" w:hint="eastAsia"/>
          <w:b/>
          <w:spacing w:val="0"/>
          <w:szCs w:val="24"/>
          <w:rtl/>
        </w:rPr>
        <w:t>ועדת</w:t>
      </w:r>
      <w:r w:rsidRPr="00A35A57">
        <w:rPr>
          <w:rFonts w:ascii="Century" w:hAnsi="Century" w:cs="Miriam"/>
          <w:b/>
          <w:spacing w:val="0"/>
          <w:szCs w:val="24"/>
          <w:rtl/>
        </w:rPr>
        <w:t xml:space="preserve"> </w:t>
      </w:r>
      <w:r w:rsidRPr="00A35A57">
        <w:rPr>
          <w:rFonts w:ascii="Century" w:hAnsi="Century" w:cs="Miriam" w:hint="eastAsia"/>
          <w:b/>
          <w:spacing w:val="0"/>
          <w:szCs w:val="24"/>
          <w:rtl/>
        </w:rPr>
        <w:t>האתיקה</w:t>
      </w:r>
      <w:r w:rsidRPr="00A35A57">
        <w:rPr>
          <w:rFonts w:ascii="Century" w:hAnsi="Century" w:cs="Miriam"/>
          <w:b/>
          <w:spacing w:val="0"/>
          <w:szCs w:val="24"/>
          <w:rtl/>
        </w:rPr>
        <w:t xml:space="preserve"> </w:t>
      </w:r>
      <w:r w:rsidRPr="00A35A57">
        <w:rPr>
          <w:rFonts w:ascii="Century" w:hAnsi="Century" w:cs="Miriam" w:hint="eastAsia"/>
          <w:b/>
          <w:spacing w:val="0"/>
          <w:szCs w:val="24"/>
          <w:rtl/>
        </w:rPr>
        <w:t>של</w:t>
      </w:r>
      <w:r w:rsidRPr="00A35A57">
        <w:rPr>
          <w:rFonts w:ascii="Century" w:hAnsi="Century" w:cs="Miriam"/>
          <w:b/>
          <w:spacing w:val="0"/>
          <w:szCs w:val="24"/>
          <w:rtl/>
        </w:rPr>
        <w:t xml:space="preserve"> </w:t>
      </w:r>
      <w:r w:rsidRPr="00A35A57">
        <w:rPr>
          <w:rFonts w:ascii="Century" w:hAnsi="Century" w:cs="Miriam" w:hint="eastAsia"/>
          <w:b/>
          <w:spacing w:val="0"/>
          <w:szCs w:val="24"/>
          <w:rtl/>
        </w:rPr>
        <w:t>הכנסת</w:t>
      </w:r>
      <w:r>
        <w:rPr>
          <w:rFonts w:hint="cs"/>
          <w:rtl/>
        </w:rPr>
        <w:t xml:space="preserve">, פסקאות 7-6 (30.4.2009); בג"ץ 5853/07 </w:t>
      </w:r>
      <w:r w:rsidRPr="00A35A57">
        <w:rPr>
          <w:rFonts w:ascii="Century" w:hAnsi="Century" w:cs="Miriam" w:hint="eastAsia"/>
          <w:b/>
          <w:spacing w:val="0"/>
          <w:szCs w:val="24"/>
          <w:rtl/>
        </w:rPr>
        <w:t>אמונה</w:t>
      </w:r>
      <w:r w:rsidRPr="00A35A57">
        <w:rPr>
          <w:rFonts w:ascii="Century" w:hAnsi="Century" w:cs="Miriam"/>
          <w:b/>
          <w:spacing w:val="0"/>
          <w:szCs w:val="24"/>
          <w:rtl/>
        </w:rPr>
        <w:t xml:space="preserve"> – תנועת </w:t>
      </w:r>
      <w:r w:rsidRPr="00A35A57">
        <w:rPr>
          <w:rFonts w:ascii="Century" w:hAnsi="Century" w:cs="Miriam" w:hint="eastAsia"/>
          <w:b/>
          <w:spacing w:val="0"/>
          <w:szCs w:val="24"/>
          <w:rtl/>
        </w:rPr>
        <w:t>האשה</w:t>
      </w:r>
      <w:r w:rsidRPr="00A35A57">
        <w:rPr>
          <w:rFonts w:ascii="Century" w:hAnsi="Century" w:cs="Miriam"/>
          <w:b/>
          <w:spacing w:val="0"/>
          <w:szCs w:val="24"/>
          <w:rtl/>
        </w:rPr>
        <w:t xml:space="preserve"> הדתית לאומית נ' ראש הממשלה</w:t>
      </w:r>
      <w:r>
        <w:rPr>
          <w:rFonts w:hint="cs"/>
          <w:rtl/>
        </w:rPr>
        <w:t xml:space="preserve">, פ"ד סב(3) 445, 482-480 (2007); בג"ץ 9070/00 </w:t>
      </w:r>
      <w:r w:rsidRPr="00A35A57">
        <w:rPr>
          <w:rFonts w:ascii="Century" w:hAnsi="Century" w:cs="Miriam" w:hint="eastAsia"/>
          <w:b/>
          <w:spacing w:val="0"/>
          <w:szCs w:val="24"/>
          <w:rtl/>
        </w:rPr>
        <w:t>לבנת</w:t>
      </w:r>
      <w:r w:rsidRPr="00A35A57">
        <w:rPr>
          <w:rFonts w:ascii="Century" w:hAnsi="Century" w:cs="Miriam"/>
          <w:b/>
          <w:spacing w:val="0"/>
          <w:szCs w:val="24"/>
          <w:rtl/>
        </w:rPr>
        <w:t xml:space="preserve"> </w:t>
      </w:r>
      <w:r w:rsidRPr="00A35A57">
        <w:rPr>
          <w:rFonts w:ascii="Century" w:hAnsi="Century" w:cs="Miriam" w:hint="eastAsia"/>
          <w:b/>
          <w:spacing w:val="0"/>
          <w:szCs w:val="24"/>
          <w:rtl/>
        </w:rPr>
        <w:t>נ</w:t>
      </w:r>
      <w:r w:rsidRPr="00A35A57">
        <w:rPr>
          <w:rFonts w:ascii="Century" w:hAnsi="Century" w:cs="Miriam"/>
          <w:b/>
          <w:spacing w:val="0"/>
          <w:szCs w:val="24"/>
          <w:rtl/>
        </w:rPr>
        <w:t xml:space="preserve">' </w:t>
      </w:r>
      <w:r w:rsidRPr="00A35A57">
        <w:rPr>
          <w:rFonts w:ascii="Century" w:hAnsi="Century" w:cs="Miriam" w:hint="eastAsia"/>
          <w:b/>
          <w:spacing w:val="0"/>
          <w:szCs w:val="24"/>
          <w:rtl/>
        </w:rPr>
        <w:t>יושב</w:t>
      </w:r>
      <w:r w:rsidRPr="00A35A57">
        <w:rPr>
          <w:rFonts w:ascii="Century" w:hAnsi="Century" w:cs="Miriam"/>
          <w:b/>
          <w:spacing w:val="0"/>
          <w:szCs w:val="24"/>
          <w:rtl/>
        </w:rPr>
        <w:t xml:space="preserve">-ראש </w:t>
      </w:r>
      <w:r w:rsidRPr="00A35A57">
        <w:rPr>
          <w:rFonts w:ascii="Century" w:hAnsi="Century" w:cs="Miriam" w:hint="eastAsia"/>
          <w:b/>
          <w:spacing w:val="0"/>
          <w:szCs w:val="24"/>
          <w:rtl/>
        </w:rPr>
        <w:t>ועדת</w:t>
      </w:r>
      <w:r w:rsidRPr="00A35A57">
        <w:rPr>
          <w:rFonts w:ascii="Century" w:hAnsi="Century" w:cs="Miriam"/>
          <w:b/>
          <w:spacing w:val="0"/>
          <w:szCs w:val="24"/>
          <w:rtl/>
        </w:rPr>
        <w:t xml:space="preserve"> </w:t>
      </w:r>
      <w:r w:rsidRPr="00A35A57">
        <w:rPr>
          <w:rFonts w:ascii="Century" w:hAnsi="Century" w:cs="Miriam" w:hint="eastAsia"/>
          <w:b/>
          <w:spacing w:val="0"/>
          <w:szCs w:val="24"/>
          <w:rtl/>
        </w:rPr>
        <w:t>חוקה</w:t>
      </w:r>
      <w:r w:rsidRPr="00A35A57">
        <w:rPr>
          <w:rFonts w:ascii="Century" w:hAnsi="Century" w:cs="Miriam"/>
          <w:b/>
          <w:spacing w:val="0"/>
          <w:szCs w:val="24"/>
          <w:rtl/>
        </w:rPr>
        <w:t xml:space="preserve">, </w:t>
      </w:r>
      <w:r w:rsidRPr="00A35A57">
        <w:rPr>
          <w:rFonts w:ascii="Century" w:hAnsi="Century" w:cs="Miriam" w:hint="eastAsia"/>
          <w:b/>
          <w:spacing w:val="0"/>
          <w:szCs w:val="24"/>
          <w:rtl/>
        </w:rPr>
        <w:t>חוק</w:t>
      </w:r>
      <w:r w:rsidRPr="00A35A57">
        <w:rPr>
          <w:rFonts w:ascii="Century" w:hAnsi="Century" w:cs="Miriam"/>
          <w:b/>
          <w:spacing w:val="0"/>
          <w:szCs w:val="24"/>
          <w:rtl/>
        </w:rPr>
        <w:t xml:space="preserve"> </w:t>
      </w:r>
      <w:r w:rsidRPr="00A35A57">
        <w:rPr>
          <w:rFonts w:ascii="Century" w:hAnsi="Century" w:cs="Miriam" w:hint="eastAsia"/>
          <w:b/>
          <w:spacing w:val="0"/>
          <w:szCs w:val="24"/>
          <w:rtl/>
        </w:rPr>
        <w:t>ומשפט</w:t>
      </w:r>
      <w:r>
        <w:rPr>
          <w:rFonts w:hint="cs"/>
          <w:rtl/>
        </w:rPr>
        <w:t xml:space="preserve">, פ"ד נה(4) 800, 810-809 (2001); בג"ץ 325/85 </w:t>
      </w:r>
      <w:r w:rsidRPr="00A35A57">
        <w:rPr>
          <w:rFonts w:ascii="Century" w:hAnsi="Century" w:cs="Miriam" w:hint="eastAsia"/>
          <w:b/>
          <w:spacing w:val="0"/>
          <w:szCs w:val="24"/>
          <w:rtl/>
        </w:rPr>
        <w:t>מיערי</w:t>
      </w:r>
      <w:r w:rsidRPr="00A35A57">
        <w:rPr>
          <w:rFonts w:ascii="Century" w:hAnsi="Century" w:cs="Miriam"/>
          <w:b/>
          <w:spacing w:val="0"/>
          <w:szCs w:val="24"/>
          <w:rtl/>
        </w:rPr>
        <w:t xml:space="preserve"> </w:t>
      </w:r>
      <w:r w:rsidRPr="00A35A57">
        <w:rPr>
          <w:rFonts w:ascii="Century" w:hAnsi="Century" w:cs="Miriam" w:hint="eastAsia"/>
          <w:b/>
          <w:spacing w:val="0"/>
          <w:szCs w:val="24"/>
          <w:rtl/>
        </w:rPr>
        <w:t>נ</w:t>
      </w:r>
      <w:r w:rsidRPr="00A35A57">
        <w:rPr>
          <w:rFonts w:ascii="Century" w:hAnsi="Century" w:cs="Miriam"/>
          <w:b/>
          <w:spacing w:val="0"/>
          <w:szCs w:val="24"/>
          <w:rtl/>
        </w:rPr>
        <w:t xml:space="preserve">' </w:t>
      </w:r>
      <w:r w:rsidRPr="00A35A57">
        <w:rPr>
          <w:rFonts w:ascii="Century" w:hAnsi="Century" w:cs="Miriam" w:hint="eastAsia"/>
          <w:b/>
          <w:spacing w:val="0"/>
          <w:szCs w:val="24"/>
          <w:rtl/>
        </w:rPr>
        <w:t>יו</w:t>
      </w:r>
      <w:r w:rsidRPr="00A35A57">
        <w:rPr>
          <w:rFonts w:ascii="Century" w:hAnsi="Century" w:cs="Miriam"/>
          <w:b/>
          <w:spacing w:val="0"/>
          <w:szCs w:val="24"/>
          <w:rtl/>
        </w:rPr>
        <w:t xml:space="preserve">"ר </w:t>
      </w:r>
      <w:r w:rsidRPr="00A35A57">
        <w:rPr>
          <w:rFonts w:ascii="Century" w:hAnsi="Century" w:cs="Miriam" w:hint="eastAsia"/>
          <w:b/>
          <w:spacing w:val="0"/>
          <w:szCs w:val="24"/>
          <w:rtl/>
        </w:rPr>
        <w:t>הכנסת</w:t>
      </w:r>
      <w:r>
        <w:rPr>
          <w:rFonts w:hint="cs"/>
          <w:rtl/>
        </w:rPr>
        <w:t xml:space="preserve">, פ"ד לט(3) 122, 129-127 (1985); בג"ץ 652/81 </w:t>
      </w:r>
      <w:r w:rsidRPr="00A35A57">
        <w:rPr>
          <w:rFonts w:ascii="Century" w:hAnsi="Century" w:cs="Miriam" w:hint="eastAsia"/>
          <w:b/>
          <w:spacing w:val="0"/>
          <w:szCs w:val="24"/>
          <w:rtl/>
        </w:rPr>
        <w:t>שריד</w:t>
      </w:r>
      <w:r w:rsidRPr="00A35A57">
        <w:rPr>
          <w:rFonts w:ascii="Century" w:hAnsi="Century" w:cs="Miriam"/>
          <w:b/>
          <w:spacing w:val="0"/>
          <w:szCs w:val="24"/>
          <w:rtl/>
        </w:rPr>
        <w:t xml:space="preserve"> </w:t>
      </w:r>
      <w:r w:rsidRPr="00A35A57">
        <w:rPr>
          <w:rFonts w:ascii="Century" w:hAnsi="Century" w:cs="Miriam" w:hint="eastAsia"/>
          <w:b/>
          <w:spacing w:val="0"/>
          <w:szCs w:val="24"/>
          <w:rtl/>
        </w:rPr>
        <w:t>נ</w:t>
      </w:r>
      <w:r w:rsidRPr="00A35A57">
        <w:rPr>
          <w:rFonts w:ascii="Century" w:hAnsi="Century" w:cs="Miriam"/>
          <w:b/>
          <w:spacing w:val="0"/>
          <w:szCs w:val="24"/>
          <w:rtl/>
        </w:rPr>
        <w:t xml:space="preserve">' </w:t>
      </w:r>
      <w:r w:rsidRPr="00A35A57">
        <w:rPr>
          <w:rFonts w:ascii="Century" w:hAnsi="Century" w:cs="Miriam" w:hint="eastAsia"/>
          <w:b/>
          <w:spacing w:val="0"/>
          <w:szCs w:val="24"/>
          <w:rtl/>
        </w:rPr>
        <w:t>יושב</w:t>
      </w:r>
      <w:r w:rsidRPr="00A35A57">
        <w:rPr>
          <w:rFonts w:ascii="Century" w:hAnsi="Century" w:cs="Miriam"/>
          <w:b/>
          <w:spacing w:val="0"/>
          <w:szCs w:val="24"/>
          <w:rtl/>
        </w:rPr>
        <w:t xml:space="preserve">-ראש </w:t>
      </w:r>
      <w:r w:rsidRPr="00A35A57">
        <w:rPr>
          <w:rFonts w:ascii="Century" w:hAnsi="Century" w:cs="Miriam" w:hint="eastAsia"/>
          <w:b/>
          <w:spacing w:val="0"/>
          <w:szCs w:val="24"/>
          <w:rtl/>
        </w:rPr>
        <w:t>הכנסת</w:t>
      </w:r>
      <w:r>
        <w:rPr>
          <w:rFonts w:hint="cs"/>
          <w:rtl/>
        </w:rPr>
        <w:t xml:space="preserve">, פ"ד לו(2) 197, 202-200 (1982)). כפועל יוצא מאופייה הייחודי של ההחלטה נושא העתירות, המצויה בלב יחסי הגומלין בין הכנסת לבין הממשלה ומבטאת את עקרון היסוד שלפיו הממשלה מכהנת מכוח אמון הכנסת, נהנית הכנסת </w:t>
      </w:r>
      <w:r>
        <w:rPr>
          <w:rtl/>
        </w:rPr>
        <w:t>–</w:t>
      </w:r>
      <w:r>
        <w:rPr>
          <w:rFonts w:hint="cs"/>
          <w:rtl/>
        </w:rPr>
        <w:t xml:space="preserve"> להבדיל מהקשרים אחרים </w:t>
      </w:r>
      <w:r>
        <w:rPr>
          <w:rtl/>
        </w:rPr>
        <w:t>–</w:t>
      </w:r>
      <w:r>
        <w:rPr>
          <w:rFonts w:hint="cs"/>
          <w:rtl/>
        </w:rPr>
        <w:t xml:space="preserve"> משיקול דעת רחב במיוחד. מכך נגזרת ביקורת שיפוטית מצומצמת על גופה של אותה בחירה פוליטית, שהיקפה שונה בתכלית מזו המופעלת על רשויות המינהל הציבורי. </w:t>
      </w:r>
    </w:p>
    <w:p w:rsidR="008C6885" w:rsidRDefault="008C6885" w:rsidP="008C6885">
      <w:pPr>
        <w:pStyle w:val="Ruller40"/>
        <w:rPr>
          <w:rtl/>
        </w:rPr>
      </w:pPr>
    </w:p>
    <w:p w:rsidR="008C6885" w:rsidRPr="002A40F5" w:rsidRDefault="008C6885" w:rsidP="008C6885">
      <w:pPr>
        <w:pStyle w:val="Ruller4"/>
        <w:rPr>
          <w:rtl/>
        </w:rPr>
      </w:pPr>
      <w:r>
        <w:rPr>
          <w:rFonts w:hint="cs"/>
          <w:rtl/>
        </w:rPr>
        <w:t xml:space="preserve">בהינתן דפוסי הביקורת השיפוטית האמורים, מהותה הייחודית של ההחלטה, וההסדר החקיקתי במתכונתו הנוכחית, שכפי שהוסבר על ידי חבריי צפה אפשרות התפקיד של הרכבת הממשלה יוטל על חבר כנסת שהוגש נגדו כתב אישום (סעיף 17(ג) לחוק-יסוד: הממשלה וסעיף 4 לחוק הממשלה, התשס"א-2001), אף אני סבור כי אין עילה בדין המאפשרת להתערב בהחלטת רוב חברי הכנסת בענייננו להטיל את הרכבת הממשלה על חבר כנסת המואשם בפלילים, על אף </w:t>
      </w:r>
      <w:r w:rsidRPr="002A40F5">
        <w:rPr>
          <w:rFonts w:hint="cs"/>
          <w:rtl/>
        </w:rPr>
        <w:t xml:space="preserve">השלכותיה. </w:t>
      </w:r>
      <w:r w:rsidRPr="002A40F5">
        <w:rPr>
          <w:rFonts w:hint="eastAsia"/>
          <w:rtl/>
        </w:rPr>
        <w:t>המפתח</w:t>
      </w:r>
      <w:r w:rsidRPr="002A40F5">
        <w:rPr>
          <w:rtl/>
        </w:rPr>
        <w:t xml:space="preserve"> </w:t>
      </w:r>
      <w:r w:rsidRPr="002A40F5">
        <w:rPr>
          <w:rFonts w:hint="eastAsia"/>
          <w:rtl/>
        </w:rPr>
        <w:t>לשינוי</w:t>
      </w:r>
      <w:r w:rsidRPr="002A40F5">
        <w:rPr>
          <w:rtl/>
        </w:rPr>
        <w:t xml:space="preserve"> </w:t>
      </w:r>
      <w:r w:rsidRPr="002A40F5">
        <w:rPr>
          <w:rFonts w:hint="eastAsia"/>
          <w:rtl/>
        </w:rPr>
        <w:t>המגבלות</w:t>
      </w:r>
      <w:r w:rsidRPr="002A40F5">
        <w:rPr>
          <w:rtl/>
        </w:rPr>
        <w:t xml:space="preserve"> </w:t>
      </w:r>
      <w:r w:rsidRPr="002A40F5">
        <w:rPr>
          <w:rFonts w:hint="eastAsia"/>
          <w:rtl/>
        </w:rPr>
        <w:t>הנורמטיביות</w:t>
      </w:r>
      <w:r w:rsidRPr="002A40F5">
        <w:rPr>
          <w:rtl/>
        </w:rPr>
        <w:t>, במבט צופה פני עתיד, נתון בידיה של הכנסת, בכובעה כרשות מכוננת.</w:t>
      </w:r>
      <w:r w:rsidRPr="002A40F5">
        <w:rPr>
          <w:rFonts w:hint="cs"/>
          <w:rtl/>
        </w:rPr>
        <w:t xml:space="preserve"> </w:t>
      </w:r>
    </w:p>
    <w:p w:rsidR="008C6885" w:rsidRDefault="008C6885" w:rsidP="008C6885">
      <w:pPr>
        <w:pStyle w:val="Ruller40"/>
        <w:rPr>
          <w:rtl/>
        </w:rPr>
      </w:pPr>
      <w:r>
        <w:rPr>
          <w:rFonts w:hint="cs"/>
          <w:rtl/>
        </w:rPr>
        <w:t xml:space="preserve"> </w:t>
      </w:r>
    </w:p>
    <w:p w:rsidR="008C6885" w:rsidRDefault="008C6885" w:rsidP="008C6885">
      <w:pPr>
        <w:pStyle w:val="Ruller40"/>
        <w:rPr>
          <w:rtl/>
        </w:rPr>
      </w:pPr>
      <w:r>
        <w:rPr>
          <w:rtl/>
        </w:rPr>
        <w:tab/>
      </w:r>
      <w:r>
        <w:rPr>
          <w:rFonts w:hint="cs"/>
          <w:rtl/>
        </w:rPr>
        <w:t>אשר על כן, על אף הקושי שעליו עמדנו, שאותו מדגישים העותרים בעתירותיהם, אינני סבור כי עלינו לחרוג מדפוסי הביקורת השיפוטית המקובלים עמנו.</w:t>
      </w:r>
    </w:p>
    <w:p w:rsidR="008C6885" w:rsidRDefault="008C6885" w:rsidP="008C6885">
      <w:pPr>
        <w:pStyle w:val="Ruller40"/>
        <w:rPr>
          <w:rtl/>
        </w:rPr>
      </w:pPr>
    </w:p>
    <w:p w:rsidR="008C6885" w:rsidRDefault="008C6885" w:rsidP="008C6885">
      <w:pPr>
        <w:pStyle w:val="Ruller40"/>
        <w:rPr>
          <w:rtl/>
        </w:rPr>
      </w:pPr>
      <w:r>
        <w:rPr>
          <w:rtl/>
        </w:rPr>
        <w:tab/>
      </w:r>
      <w:r>
        <w:rPr>
          <w:rFonts w:hint="cs"/>
          <w:rtl/>
        </w:rPr>
        <w:t xml:space="preserve">בטרם חתימה מבקש אני לחזור על דברים שאמרתי בפסק הדין שניתן בעתירת התנועה למען איכות השלטון בישראל בעניין </w:t>
      </w:r>
      <w:r w:rsidRPr="00A35A57">
        <w:rPr>
          <w:rFonts w:ascii="Century" w:hAnsi="Century" w:cs="Miriam" w:hint="eastAsia"/>
          <w:b/>
          <w:spacing w:val="0"/>
          <w:szCs w:val="24"/>
          <w:rtl/>
        </w:rPr>
        <w:t>דרעי</w:t>
      </w:r>
      <w:r w:rsidRPr="00A35A57">
        <w:rPr>
          <w:rFonts w:ascii="Century" w:hAnsi="Century" w:cs="Miriam"/>
          <w:b/>
          <w:spacing w:val="0"/>
          <w:szCs w:val="24"/>
          <w:rtl/>
        </w:rPr>
        <w:t xml:space="preserve"> </w:t>
      </w:r>
      <w:r w:rsidRPr="00A35A57">
        <w:rPr>
          <w:rFonts w:ascii="Century" w:hAnsi="Century" w:cs="Miriam" w:hint="eastAsia"/>
          <w:b/>
          <w:spacing w:val="0"/>
          <w:szCs w:val="24"/>
          <w:rtl/>
        </w:rPr>
        <w:t>השני</w:t>
      </w:r>
      <w:r>
        <w:rPr>
          <w:rFonts w:hint="cs"/>
          <w:rtl/>
        </w:rPr>
        <w:t xml:space="preserve">, היפים גם כאן, בשינויים המחויבים. תפקידו של בית המשפט, שאינו חלק מהליך המינוי, מוגבל לבחינת פעולת הרשות על פי עילות הביקורת השיפוטית הקבועות בדין. כאשר בית המשפט נמנע מלהתערב בהחלטת הרשות אין בית המשפט מתכוון לומר כי ההחלטה טובה וראויה. בית המשפט אומר רק זאת, שהחלטת הרשות אינה נוגדת את הדין (בג"ץ 3095/15 </w:t>
      </w:r>
      <w:r w:rsidRPr="00A35A57">
        <w:rPr>
          <w:rFonts w:cs="Miriam" w:hint="eastAsia"/>
          <w:b/>
          <w:spacing w:val="0"/>
          <w:szCs w:val="24"/>
          <w:rtl/>
        </w:rPr>
        <w:t>התנועה</w:t>
      </w:r>
      <w:r w:rsidRPr="00A35A57">
        <w:rPr>
          <w:rFonts w:cs="Miriam"/>
          <w:b/>
          <w:spacing w:val="0"/>
          <w:szCs w:val="24"/>
          <w:rtl/>
        </w:rPr>
        <w:t xml:space="preserve"> </w:t>
      </w:r>
      <w:r w:rsidRPr="00A35A57">
        <w:rPr>
          <w:rFonts w:cs="Miriam" w:hint="eastAsia"/>
          <w:b/>
          <w:spacing w:val="0"/>
          <w:szCs w:val="24"/>
          <w:rtl/>
        </w:rPr>
        <w:t>למען</w:t>
      </w:r>
      <w:r w:rsidRPr="00A35A57">
        <w:rPr>
          <w:rFonts w:cs="Miriam"/>
          <w:b/>
          <w:spacing w:val="0"/>
          <w:szCs w:val="24"/>
          <w:rtl/>
        </w:rPr>
        <w:t xml:space="preserve"> </w:t>
      </w:r>
      <w:r w:rsidRPr="00A35A57">
        <w:rPr>
          <w:rFonts w:cs="Miriam" w:hint="eastAsia"/>
          <w:b/>
          <w:spacing w:val="0"/>
          <w:szCs w:val="24"/>
          <w:rtl/>
        </w:rPr>
        <w:t>איכות</w:t>
      </w:r>
      <w:r w:rsidRPr="00A35A57">
        <w:rPr>
          <w:rFonts w:cs="Miriam"/>
          <w:b/>
          <w:spacing w:val="0"/>
          <w:szCs w:val="24"/>
          <w:rtl/>
        </w:rPr>
        <w:t xml:space="preserve"> </w:t>
      </w:r>
      <w:r w:rsidRPr="00A35A57">
        <w:rPr>
          <w:rFonts w:cs="Miriam" w:hint="eastAsia"/>
          <w:b/>
          <w:spacing w:val="0"/>
          <w:szCs w:val="24"/>
          <w:rtl/>
        </w:rPr>
        <w:t>השלטון</w:t>
      </w:r>
      <w:r w:rsidRPr="00A35A57">
        <w:rPr>
          <w:rFonts w:cs="Miriam"/>
          <w:b/>
          <w:spacing w:val="0"/>
          <w:szCs w:val="24"/>
          <w:rtl/>
        </w:rPr>
        <w:t xml:space="preserve"> </w:t>
      </w:r>
      <w:r w:rsidRPr="00A35A57">
        <w:rPr>
          <w:rFonts w:cs="Miriam" w:hint="eastAsia"/>
          <w:b/>
          <w:spacing w:val="0"/>
          <w:szCs w:val="24"/>
          <w:rtl/>
        </w:rPr>
        <w:t>בישראל</w:t>
      </w:r>
      <w:r w:rsidRPr="00A35A57">
        <w:rPr>
          <w:rFonts w:cs="Miriam"/>
          <w:b/>
          <w:spacing w:val="0"/>
          <w:szCs w:val="24"/>
          <w:rtl/>
        </w:rPr>
        <w:t xml:space="preserve"> </w:t>
      </w:r>
      <w:r w:rsidRPr="00A35A57">
        <w:rPr>
          <w:rFonts w:cs="Miriam" w:hint="eastAsia"/>
          <w:b/>
          <w:spacing w:val="0"/>
          <w:szCs w:val="24"/>
          <w:rtl/>
        </w:rPr>
        <w:t>נ</w:t>
      </w:r>
      <w:r w:rsidRPr="00A35A57">
        <w:rPr>
          <w:rFonts w:cs="Miriam"/>
          <w:b/>
          <w:spacing w:val="0"/>
          <w:szCs w:val="24"/>
          <w:rtl/>
        </w:rPr>
        <w:t xml:space="preserve">' </w:t>
      </w:r>
      <w:r w:rsidRPr="00A35A57">
        <w:rPr>
          <w:rFonts w:cs="Miriam" w:hint="eastAsia"/>
          <w:b/>
          <w:spacing w:val="0"/>
          <w:szCs w:val="24"/>
          <w:rtl/>
        </w:rPr>
        <w:t>ראש</w:t>
      </w:r>
      <w:r w:rsidRPr="00A35A57">
        <w:rPr>
          <w:rFonts w:cs="Miriam"/>
          <w:b/>
          <w:spacing w:val="0"/>
          <w:szCs w:val="24"/>
          <w:rtl/>
        </w:rPr>
        <w:t xml:space="preserve"> </w:t>
      </w:r>
      <w:r w:rsidRPr="00A35A57">
        <w:rPr>
          <w:rFonts w:cs="Miriam" w:hint="eastAsia"/>
          <w:b/>
          <w:spacing w:val="0"/>
          <w:szCs w:val="24"/>
          <w:rtl/>
        </w:rPr>
        <w:t>ממשלת</w:t>
      </w:r>
      <w:r w:rsidRPr="00A35A57">
        <w:rPr>
          <w:rFonts w:cs="Miriam"/>
          <w:b/>
          <w:spacing w:val="0"/>
          <w:szCs w:val="24"/>
          <w:rtl/>
        </w:rPr>
        <w:t xml:space="preserve"> </w:t>
      </w:r>
      <w:r w:rsidRPr="00A35A57">
        <w:rPr>
          <w:rFonts w:cs="Miriam" w:hint="eastAsia"/>
          <w:b/>
          <w:spacing w:val="0"/>
          <w:szCs w:val="24"/>
          <w:rtl/>
        </w:rPr>
        <w:t>ישראל</w:t>
      </w:r>
      <w:r w:rsidRPr="00A35A57">
        <w:rPr>
          <w:rFonts w:cs="Miriam"/>
          <w:b/>
          <w:spacing w:val="0"/>
          <w:szCs w:val="24"/>
          <w:rtl/>
        </w:rPr>
        <w:t xml:space="preserve"> </w:t>
      </w:r>
      <w:r>
        <w:rPr>
          <w:rFonts w:hint="cs"/>
          <w:rtl/>
        </w:rPr>
        <w:t xml:space="preserve">(13.8.2015)). </w:t>
      </w:r>
    </w:p>
    <w:p w:rsidR="008C6885" w:rsidRDefault="008C6885" w:rsidP="008C6885">
      <w:pPr>
        <w:pStyle w:val="Ruller40"/>
        <w:rPr>
          <w:rtl/>
        </w:rPr>
      </w:pPr>
    </w:p>
    <w:p w:rsidR="008C6885" w:rsidRDefault="008C6885" w:rsidP="008C6885">
      <w:pPr>
        <w:pStyle w:val="Ruller40"/>
        <w:rPr>
          <w:rtl/>
        </w:rPr>
      </w:pPr>
      <w:r>
        <w:rPr>
          <w:rtl/>
        </w:rPr>
        <w:tab/>
      </w:r>
      <w:r>
        <w:rPr>
          <w:rFonts w:hint="cs"/>
          <w:rtl/>
        </w:rPr>
        <w:t xml:space="preserve">במקרה שלפנינו, כפי שהובהר, ההחלטה אינה נוגדת את הדין. גם אם בתחום המשפט לא נמצאה עילה להתערבות </w:t>
      </w:r>
      <w:r>
        <w:rPr>
          <w:rtl/>
        </w:rPr>
        <w:t>–</w:t>
      </w:r>
      <w:r>
        <w:rPr>
          <w:rFonts w:hint="cs"/>
          <w:rtl/>
        </w:rPr>
        <w:t xml:space="preserve"> ועל הקושי המתעורר עמדנו בקול גדול </w:t>
      </w:r>
      <w:r>
        <w:rPr>
          <w:rtl/>
        </w:rPr>
        <w:t>–</w:t>
      </w:r>
      <w:r>
        <w:rPr>
          <w:rFonts w:hint="cs"/>
          <w:rtl/>
        </w:rPr>
        <w:t xml:space="preserve"> יוכל הדיון בסוגיה זו להימשך בספירה הציבורית.</w:t>
      </w:r>
    </w:p>
    <w:p w:rsidR="00FD5BC0" w:rsidRPr="001469FE" w:rsidRDefault="00FD5BC0">
      <w:pPr>
        <w:pStyle w:val="BODYVERDICT"/>
        <w:rPr>
          <w:rFonts w:cs="Miriam"/>
          <w:sz w:val="24"/>
          <w:szCs w:val="24"/>
          <w:rtl/>
        </w:rPr>
      </w:pPr>
    </w:p>
    <w:tbl>
      <w:tblPr>
        <w:bidiVisual/>
        <w:tblW w:w="8363" w:type="dxa"/>
        <w:tblLook w:val="01E0" w:firstRow="1" w:lastRow="1" w:firstColumn="1" w:lastColumn="1" w:noHBand="0" w:noVBand="0"/>
      </w:tblPr>
      <w:tblGrid>
        <w:gridCol w:w="2786"/>
        <w:gridCol w:w="2787"/>
        <w:gridCol w:w="2790"/>
      </w:tblGrid>
      <w:tr w:rsidR="008C6885" w:rsidRPr="000A1340" w:rsidTr="00BF4691">
        <w:tc>
          <w:tcPr>
            <w:tcW w:w="2786" w:type="dxa"/>
            <w:hideMark/>
          </w:tcPr>
          <w:p w:rsidR="008C6885" w:rsidRPr="000A1340" w:rsidRDefault="008C6885" w:rsidP="008835E9">
            <w:pPr>
              <w:pStyle w:val="Ruller40"/>
            </w:pPr>
            <w:bookmarkStart w:id="8" w:name="Start_Write"/>
            <w:bookmarkEnd w:id="8"/>
          </w:p>
        </w:tc>
        <w:tc>
          <w:tcPr>
            <w:tcW w:w="2787" w:type="dxa"/>
            <w:hideMark/>
          </w:tcPr>
          <w:p w:rsidR="008C6885" w:rsidRPr="000A1340" w:rsidRDefault="008C6885" w:rsidP="008835E9">
            <w:pPr>
              <w:pStyle w:val="Ruller40"/>
              <w:jc w:val="center"/>
              <w:rPr>
                <w:rtl/>
              </w:rPr>
            </w:pPr>
          </w:p>
        </w:tc>
        <w:tc>
          <w:tcPr>
            <w:tcW w:w="2790" w:type="dxa"/>
            <w:hideMark/>
          </w:tcPr>
          <w:p w:rsidR="008C6885" w:rsidRPr="000A1340" w:rsidRDefault="008C6885" w:rsidP="008835E9">
            <w:pPr>
              <w:pStyle w:val="Ruller40"/>
              <w:jc w:val="center"/>
              <w:rPr>
                <w:rtl/>
              </w:rPr>
            </w:pPr>
            <w:r w:rsidRPr="000A1340">
              <w:rPr>
                <w:rtl/>
              </w:rPr>
              <w:t xml:space="preserve">ש ו פ ט </w:t>
            </w:r>
          </w:p>
        </w:tc>
      </w:tr>
    </w:tbl>
    <w:p w:rsidR="008C6885" w:rsidRDefault="008C6885" w:rsidP="00A51FAE">
      <w:pPr>
        <w:pStyle w:val="Ruller40"/>
        <w:rPr>
          <w:rtl/>
        </w:rPr>
      </w:pPr>
    </w:p>
    <w:p w:rsidR="002A6B50" w:rsidRPr="00503A3E" w:rsidRDefault="002A6B50" w:rsidP="002A6B50">
      <w:pPr>
        <w:pStyle w:val="BODYVERDICT"/>
        <w:rPr>
          <w:rFonts w:cs="Miriam"/>
          <w:sz w:val="24"/>
          <w:szCs w:val="24"/>
          <w:u w:val="single"/>
          <w:rtl/>
        </w:rPr>
      </w:pPr>
      <w:r>
        <w:rPr>
          <w:rFonts w:cs="Miriam"/>
          <w:sz w:val="24"/>
          <w:szCs w:val="24"/>
          <w:u w:val="single"/>
          <w:rtl/>
        </w:rPr>
        <w:t>השופט נ' הנדל:</w:t>
      </w:r>
    </w:p>
    <w:p w:rsidR="002A6B50" w:rsidRDefault="002A6B50" w:rsidP="002A6B50">
      <w:pPr>
        <w:pStyle w:val="Ruller40"/>
        <w:rPr>
          <w:rtl/>
        </w:rPr>
      </w:pPr>
    </w:p>
    <w:p w:rsidR="002A6B50" w:rsidRPr="00BF67D5" w:rsidRDefault="002A6B50" w:rsidP="002A6B50">
      <w:pPr>
        <w:pStyle w:val="Ruller4"/>
        <w:numPr>
          <w:ilvl w:val="0"/>
          <w:numId w:val="1"/>
        </w:numPr>
        <w:tabs>
          <w:tab w:val="num" w:pos="907"/>
        </w:tabs>
        <w:ind w:left="0"/>
        <w:rPr>
          <w:rFonts w:cs="Times New Roman"/>
          <w:lang w:bidi="ar-SA"/>
        </w:rPr>
      </w:pPr>
      <w:r w:rsidRPr="00BF67D5">
        <w:rPr>
          <w:rtl/>
        </w:rPr>
        <w:t>כפי שנאמר לעיל, חוות דעתה הסדורה של חברתי הנשיאה</w:t>
      </w:r>
      <w:r w:rsidRPr="00BF67D5">
        <w:rPr>
          <w:rFonts w:cs="Times New Roman"/>
          <w:rtl/>
          <w:lang w:bidi="ar-SA"/>
        </w:rPr>
        <w:t xml:space="preserve"> </w:t>
      </w:r>
      <w:r w:rsidRPr="005C3E57">
        <w:rPr>
          <w:rFonts w:ascii="Miriam" w:hAnsi="Miriam" w:cs="Miriam"/>
          <w:sz w:val="22"/>
          <w:szCs w:val="24"/>
          <w:rtl/>
        </w:rPr>
        <w:t>א' חיות</w:t>
      </w:r>
      <w:r w:rsidRPr="005C3E57">
        <w:rPr>
          <w:rFonts w:cs="Times New Roman"/>
          <w:sz w:val="22"/>
          <w:szCs w:val="24"/>
          <w:rtl/>
          <w:lang w:bidi="ar-SA"/>
        </w:rPr>
        <w:t xml:space="preserve"> </w:t>
      </w:r>
      <w:r w:rsidRPr="00BF67D5">
        <w:rPr>
          <w:rtl/>
        </w:rPr>
        <w:t>על נימוקיה ומסקנתה כי דין העתירות להידחות מקובלות עליי. כמצוין, שופט שופט על-פי שיקול דעתו יוסיף הדגשים משלו, ככל שהוא מוצא לנכון, וכך אנהג.</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השאלה המרכזית שהונחה לפתחנו בעתירות היא האם נכון להוציא צו שיפוטי שימנע מחבר הכנסת בנימין נתניהו להרכיב את ממשלת ישראל הנכנסת ולעמוד בראשה, לנוכח כתב האישום שהוגש נגדו, המייחס לו עבירות של שוחד ושל מרמה והפרת אמונים.</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הסוגיה רגישה עד מאוד. המסע להכרעה דורש בחינה של לשון החוק על הכתוב בו ועל הלא-כתוב בו, הכרה בהבחנה בין כשירות לשיקול דעת, מיקוד בגורם הממנה ובטיב החלטתו, ושימת-לב לכובעו הנוכחי של המועמד לראשות הממשלה – חבר הכנסת נתניהו – ולאופי התפקיד המיועד לו.</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טרם נפרוש את היריעה, נאמר בקיצור מספר הערות מקדמיות. ההבחנה בין כשירות לשיקול דעת של הגורם המכריע ביחס להטלת הרכבת הממשלה על חבר כנסת מקובלת אף על באת-כוח הכנסת. נראה כי זוהי תולדה של גישת המשפט הישראלי בבחינת מינויים ציבוריים (בג״ץ 3094/93</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התנועה למען איכות השלטון בישראל נ' ממשלת ישראל</w:t>
      </w:r>
      <w:r>
        <w:rPr>
          <w:rFonts w:ascii="FrankRuehl" w:hAnsi="FrankRuehl" w:cs="FrankRuehl" w:hint="cs"/>
          <w:color w:val="000000"/>
          <w:spacing w:val="10"/>
          <w:sz w:val="28"/>
          <w:szCs w:val="28"/>
          <w:rtl/>
        </w:rPr>
        <w:t>, פ״ד</w:t>
      </w:r>
      <w:r w:rsidRPr="00BF67D5">
        <w:rPr>
          <w:rFonts w:ascii="FrankRuehl" w:hAnsi="FrankRuehl" w:cs="FrankRuehl"/>
          <w:color w:val="000000"/>
          <w:spacing w:val="10"/>
          <w:sz w:val="28"/>
          <w:szCs w:val="28"/>
          <w:rtl/>
        </w:rPr>
        <w:t xml:space="preserve"> מז(5) 404 (1993) (להלן: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דרעי</w:t>
      </w:r>
      <w:r>
        <w:rPr>
          <w:rFonts w:ascii="FrankRuehl" w:hAnsi="FrankRuehl" w:cs="FrankRuehl" w:hint="cs"/>
          <w:color w:val="000000"/>
          <w:spacing w:val="10"/>
          <w:sz w:val="28"/>
          <w:szCs w:val="28"/>
          <w:rtl/>
        </w:rPr>
        <w:t>); ב</w:t>
      </w:r>
      <w:r w:rsidRPr="00BF67D5">
        <w:rPr>
          <w:rFonts w:ascii="FrankRuehl" w:hAnsi="FrankRuehl" w:cs="FrankRuehl"/>
          <w:color w:val="000000"/>
          <w:spacing w:val="10"/>
          <w:sz w:val="28"/>
          <w:szCs w:val="28"/>
          <w:rtl/>
        </w:rPr>
        <w:t>ג״ץ 4267/93</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אמיתי – אזרחים למען מינהל תקין וטוהר המידות נ' יצחק רבין, ראש ממשלת ישראל</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פ״ד מז(5) 441 (1993) (להלן: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פנחסי</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זאת, הגם שיש לשים את הזרקור על המינוי המסוים ועל מהותו. הבדיקה לא מתמקדת בתפקיד שראש הממשלה נתניהו ממלא כעת אלא במינויו העתידי לתפקיד זה מנקודת היבחרותו לחבר כנסת בבחירות האחרונות. סעיף החוק הרלוונטי הוא סעיף 5(ב) לחוק יסוד: הממשלה הקובע כי ראש הממשלה ייבחר מתוך חברי הכנסת. זהו תנאי הכשירות וחבר הכנסת נתניהו עומד בו. ואם נותרה סוגיית שיקול הדעת, קמה ומזדקרת השאלה: שיקול דעתו של מי?</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pStyle w:val="Ruller4"/>
        <w:numPr>
          <w:ilvl w:val="0"/>
          <w:numId w:val="1"/>
        </w:numPr>
        <w:tabs>
          <w:tab w:val="num" w:pos="907"/>
        </w:tabs>
        <w:ind w:left="0"/>
        <w:rPr>
          <w:rFonts w:cs="Times New Roman"/>
          <w:rtl/>
          <w:lang w:bidi="ar-SA"/>
        </w:rPr>
      </w:pPr>
      <w:r w:rsidRPr="00BF67D5">
        <w:rPr>
          <w:rFonts w:ascii="FrankRuehl" w:hAnsi="FrankRuehl"/>
          <w:color w:val="000000"/>
          <w:sz w:val="28"/>
          <w:rtl/>
        </w:rPr>
        <w:t>במהלך הדיון בעל-פה הציגו באי-כוח העותרים ארבעה מועמדים אפשריים שהחלטתם או מעשיהם נתונים לביקורת שיפוטית ביחס לסוגיית הרכבת הממשלה על-ידי חבר הכנסת נתניהו: הכנסת; נשיא המדינה; יושב</w:t>
      </w:r>
      <w:r>
        <w:rPr>
          <w:rFonts w:ascii="FrankRuehl" w:hAnsi="FrankRuehl" w:hint="cs"/>
          <w:color w:val="000000"/>
          <w:sz w:val="28"/>
          <w:rtl/>
        </w:rPr>
        <w:t xml:space="preserve"> </w:t>
      </w:r>
      <w:r w:rsidRPr="00BF67D5">
        <w:rPr>
          <w:rFonts w:ascii="FrankRuehl" w:hAnsi="FrankRuehl"/>
          <w:color w:val="000000"/>
          <w:sz w:val="28"/>
          <w:rtl/>
        </w:rPr>
        <w:t>ראש הכנסת; והמועמד לראשות הממשלה עצמו – חבר הכנסת נתניהו. בעניין זה דעתי כדעת הנשיאה, שהגורם המפעיל שיקול דעת בענייננו הוא הכנסת, הפועלת בהתאם לסעיף 10(א) לחוק יסוד: הממשלה. כדי לבאר דעתי זו, אתייחס תחילה בקצרה למועמדים האחרים.</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חוק יסוד: הממשלה (להלן גם:</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החוק</w:t>
      </w:r>
      <w:r>
        <w:rPr>
          <w:rFonts w:ascii="FrankRuehl" w:hAnsi="FrankRuehl" w:cs="FrankRuehl" w:hint="cs"/>
          <w:color w:val="000000"/>
          <w:spacing w:val="10"/>
          <w:sz w:val="28"/>
          <w:szCs w:val="28"/>
          <w:rtl/>
        </w:rPr>
        <w:t>) מ</w:t>
      </w:r>
      <w:r w:rsidRPr="00BF67D5">
        <w:rPr>
          <w:rFonts w:ascii="FrankRuehl" w:hAnsi="FrankRuehl" w:cs="FrankRuehl"/>
          <w:color w:val="000000"/>
          <w:spacing w:val="10"/>
          <w:sz w:val="28"/>
          <w:szCs w:val="28"/>
          <w:rtl/>
        </w:rPr>
        <w:t>טיל אחריות ייחודית על נשיא המדינה בהרכבת הממשלה. הנשיא אחראי להטלת התפקיד להרכיב ממשלה. סמכותו מפורטת היטב בחוק המתייחס לשלושה מצבים: סעיף 7(א) קובע כי משעה שיש לכונן ממשלה, על נשיא המדינה להטיל את תפקיד הרכבת הממשלה על אחד מחברי הכנסת שמסכים לכך. הסעיף מורה לנשיא להתייעץ עם נציגי הסיעות בכנסת וקוצב את לוח הזמנים לעשיית המלאכה – שבעה ימים מיום פרסום תוצאות הבחירות. עולה כי בנסיבות אלו, הנשיא מחויב להטיל את התפקיד האמור, וכי נתון לו שיקול דעת בבחירת חבר הכנסת המתאים – שהרי החוק אינו מתווה דרך הכרעה אלא רק דרך התייעצות טרם ההכרעה. סעיף 9 לחוק דן במצב שבו חבר הכנסת שנבחר על-ידי הנשיא לא הצליח להרכיב ממשלה, גם אם הנשיא נתן לו הארכות כפי שמתאפשר לפי סעיף 8. או-אז, הנשיא רשאי להטיל את תפקיד הרכבת הממשלה על חבר כנסת אחר, או להודיע ליושב ראש הכנסת כי אינו רואה אפשרות להרכבת ממשלה. סעיף 10(א) – והוא הרלוונטי לענייננו – קובע כי במצב שבו נשיא המדינה מודיע כי אינו רואה אפשרות להרכבת ממשלה, כדור ההכרעה עובר למגרש הכנסת. במצב זה,</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רשאים רוב חברי הכנסת לבקש מנשיא המדינה, בכתב, להטיל את התפקיד על חבר הכנסת פלוני, שהסכים לכך בכתב</w:t>
      </w:r>
      <w:r>
        <w:rPr>
          <w:rFonts w:ascii="FrankRuehl" w:hAnsi="FrankRuehl" w:cs="FrankRuehl" w:hint="cs"/>
          <w:color w:val="000000"/>
          <w:spacing w:val="10"/>
          <w:sz w:val="28"/>
          <w:szCs w:val="28"/>
          <w:rtl/>
        </w:rPr>
        <w:t>״. ס</w:t>
      </w:r>
      <w:r w:rsidRPr="00BF67D5">
        <w:rPr>
          <w:rFonts w:ascii="FrankRuehl" w:hAnsi="FrankRuehl" w:cs="FrankRuehl"/>
          <w:color w:val="000000"/>
          <w:spacing w:val="10"/>
          <w:sz w:val="28"/>
          <w:szCs w:val="28"/>
          <w:rtl/>
        </w:rPr>
        <w:t>עיף 10(ב) לחוק קובע כי אם הוגשה בקשה כאמור,</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יטיל הנשיא, בתוך יומיים, את התפקיד להרכיב ממשלה על חבר הכנסת שצוין בבקשה</w:t>
      </w:r>
      <w:r>
        <w:rPr>
          <w:rFonts w:ascii="FrankRuehl" w:hAnsi="FrankRuehl" w:cs="FrankRuehl" w:hint="cs"/>
          <w:color w:val="000000"/>
          <w:spacing w:val="10"/>
          <w:sz w:val="28"/>
          <w:szCs w:val="28"/>
          <w:rtl/>
        </w:rPr>
        <w:t>״.</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יושמו אל לב לשון החובה שנוקט החוק והתקופה המוגבלת שנקבעה להחלטה זו של הנשיא. מעבר לכך, רצוני להבליט את מה שלא כתוב בסעיף 10 לחוק. בניגוד לסעיף 9, אין התייחסות למצב שבו הנשיא אינו מטיל את התפקיד על חבר הכנסת שנבחר על-ידי רוב חברי הכנסת. במילים אחרות, החוק שמתווה את מסלול הפעולה של הנשיא אינו מתייחס לאפשרות כי הלה יסרב לבקשת רוב חברי הכנסת. המשמעות היא כי שיקול הדעת של הנשיא בשלב של סעיף 10 הוא מוגבל ולמעשה מותנה בעמדת חברי הכנסת. הגורם הפעיל ש</w:t>
      </w:r>
      <w:r>
        <w:rPr>
          <w:rFonts w:ascii="FrankRuehl" w:hAnsi="FrankRuehl" w:cs="FrankRuehl"/>
          <w:color w:val="000000"/>
          <w:spacing w:val="10"/>
          <w:sz w:val="28"/>
          <w:szCs w:val="28"/>
          <w:rtl/>
        </w:rPr>
        <w:t xml:space="preserve">מחליט בפועל על מי שיישא בתפקיד </w:t>
      </w:r>
      <w:r w:rsidRPr="00BF67D5">
        <w:rPr>
          <w:rFonts w:ascii="FrankRuehl" w:hAnsi="FrankRuehl" w:cs="FrankRuehl"/>
          <w:color w:val="000000"/>
          <w:spacing w:val="10"/>
          <w:sz w:val="28"/>
          <w:szCs w:val="28"/>
          <w:rtl/>
        </w:rPr>
        <w:t>הרכבת הממשלה הוא רוב חברי הכנסת. מכאן עולה כי אין מקום לביקורת שיפוטית על החלטת הנשיא להטיל את תפקיד הרכבת הממשלה על חבר הכנסת שלגביו ביקשו רוב חברי הכנסת כי יעשה כן. זאת, גם בדרך עקיפה לנוכח הוראת החסינות הקבועה בסעיף 13(א) לחוק יסוד: נשיא המדינה.</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לשון החוק כאמור אף מתיישבת עם תכלית החוק – לאפשר לכנסת יכולת הכרעה בלעדית בשאלה מי ירכיב את הממשלה ויעמוד בראשה, בשלב שמגיע לאחר שהרכבת ממשלה לא עלתה בידו של מי שהנשיא הטיל עליו את התפקיד לעשות כן. מדובר בשלב שהוא הישורת האחרונה לפני פיזור הכנסת וקביעת מועד לבחירות חדשות (ראו סעיף 11 לחוק).</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ענייננו במצב מהסוג האחרון. ההכרעה הועברה לכנסת. זהו הגורם המחליט והממנה. אין מקום אפוא להפנות את הסוגיה המשפטית כלפי החלטת הנשיא. הוא הדין לגבי יושב ראש הכנסת, הפועל אף הוא בהתאם להחלטות רוב חברי הכנסת. אמנם יושב ראש הכנסת מהווה חוליה בשרשרת ההליך להטלת תפקיד הרכבת הממשלה על חבר הכנסת הנבחר, אך תפקידו מצומצם לקבלת הודעה מהנשיא כי אינו רואה אפשרות להגיע להרכבת הממשלה (סעיף 9 לחוק), או בשלב מאוחר יותר, לקבלת הודעה מהנשיא כי תפקיד הרכבת הממשלה הוטל על חבר הכנסת בהתאם לבקשת הכנסת, ולהודעה על כך לכנסת (סעיף 13 לחוק).</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נותרה שאלת הביקורת לגבי החלטת חבר הכנסת עצמו – במקרה זה, חבר הכנסת נתניהו – לקבל את התפקיד. על-פי קו זה, הטלת התפקיד תלויה בהסכמתו, ועל כן הוא מפעיל שיקול דעת שחשוף לביקורת. נראה כי קונסטרוקציה זו מרחיקת לכת. עולה כי התכלית בדרישת ההסכמה מהמועמד היא למנוע מצב שבו רוב חברי הכנסת יכפו את דעתם על מועמד שאינו מעוניין בתפקיד. הפער קיים בין האוטונומיה לסרב לתפקיד לבין הפעלת ביקורת שיפוטית על ההחלטה לקבלו. זוהי החלטה אישית של המועמד בינו לבין עצמו אם לקבל את התפקיד להרכיב את הממשלה ולעמוד בראשה. כמובן, במסגרת החלטתו הוא רשאי להתייחס לעמדתו לגבי הגשת כתב האישום והעבירות המיוחסות לו, ואף יוזכר כי הוא נהנה מחזקת החפות. כך או כך המוקד הוא בגורם המחליט להעניק לו את התפקיד, ובענייננו הוא הכנסת ולא חבר הכנסת המקבל את התפקיד על-פי החלטתה. בהנחה כי יש מקום לשלול את בחירת חבר הכנסת המיועד, שורש הכשל הוא בפגם נורמטיבי שהיה על הכנסת להידרש אליו. משכך הניתוח נסוב סביב הכנסת. בשלילת הביקורת על הגורמים האחרים המעורבים בתהליך מינויו של חבר כנסת לתפקיד ראש ממשלה יש כדי להבליט את הדומיננטיות של חברי הכנסת במלאכה זו. מועמדים אחרים שהוזכרו אינם במרכז וייתכן כי הדבר מלמד על רוחב שיקול הדעת המוענק לכנסת בבחירת מועמד ועל הקושי לתקוף את החלטתה. לנושא זה אדרש עתה.</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pStyle w:val="Ruller4"/>
        <w:numPr>
          <w:ilvl w:val="0"/>
          <w:numId w:val="1"/>
        </w:numPr>
        <w:tabs>
          <w:tab w:val="num" w:pos="907"/>
        </w:tabs>
        <w:ind w:left="0"/>
        <w:rPr>
          <w:rFonts w:cs="Times New Roman"/>
          <w:rtl/>
          <w:lang w:bidi="ar-SA"/>
        </w:rPr>
      </w:pPr>
      <w:r w:rsidRPr="00BF67D5">
        <w:rPr>
          <w:rFonts w:ascii="FrankRuehl" w:hAnsi="FrankRuehl"/>
          <w:color w:val="000000"/>
          <w:sz w:val="28"/>
          <w:rtl/>
        </w:rPr>
        <w:t>אותר הגורם הממנה ששיקול דעתו עומד בלב העניין – הוא הכנסת. העותרים למעשה תוקפים את שיקול הדעת של חברי הכנסת המבקשים להמליץ על חבר הכנסת נתניהו לכהן כראש ממשלה, ובהתאם להביע אמון בממשלה שתקום (סעיף 13(ד) לחוק). כדי לבחון את היקף הביקורת השיפוטית על החלטות מטיב זה, נחזור לדברים שצוינו בתחילת חוות דעתי. השאלה ממזגת נקודות שונות שביחד מגדירות אותה. נציין את לשון החוק, את כובעו הנוכחי של מר נתניהו כחבר כנסת נבחר, את התפקיד המיועד לו – ראש ממשלה, ואת הגורם הממנה לתפקיד זה – הכנסת.</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p>
    <w:p w:rsidR="002A6B50"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התבוננות על המסגרת החוקית מגלה כי אין בנמצא סעיף חוק המחייב את הכנסת להימנע מההחלטה להמליץ על חבר הכנסת נתניהו לכהן כראש ממשלה. בצורה יותר מדויקת, החוק רק קובע כי ראש ממשלה ייבחר מבין חברי הכנסת (סעיף 5(ב) לחוק יסוד: הממשלה). אין התייחסות לשיקולים שעל בסיסם יוכרע מי יהיה ראש ממשלה, לכאן או לכאן. החוק שותק באופן שמעלה אפשרויות שונות.</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ind w:firstLine="720"/>
        <w:jc w:val="both"/>
        <w:textAlignment w:val="auto"/>
        <w:rPr>
          <w:rFonts w:cs="Times New Roman"/>
          <w:spacing w:val="10"/>
          <w:sz w:val="24"/>
          <w:lang w:bidi="ar-SA"/>
        </w:rPr>
      </w:pPr>
      <w:r w:rsidRPr="00BF67D5">
        <w:rPr>
          <w:rFonts w:ascii="FrankRuehl" w:hAnsi="FrankRuehl" w:cs="FrankRuehl"/>
          <w:color w:val="000000"/>
          <w:spacing w:val="10"/>
          <w:sz w:val="28"/>
          <w:szCs w:val="28"/>
          <w:rtl/>
        </w:rPr>
        <w:t>נציג את הדין המתייחס לאפשרות הפסקת כהונה של נבחר ציבור ביחס לשלושה – שר, ראש ממשלה וראש רשות מקומית. החוק קובע כי ראש ממשלה רשאי לפטר שר (סעיפים 22(ב) ו-26(3) לחוק); כי שר יועבר מתפקידו אם הורשע בעבירה שיש עימה קלון (סעיף 23(ב) לחוק); כי מועצה מקומית רשאית להעביר מתפקידו ראש רשות ה</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מתנהג התנהגות שאינה הולמת מעמדו</w:t>
      </w:r>
      <w:r>
        <w:rPr>
          <w:rFonts w:ascii="FrankRuehl" w:hAnsi="FrankRuehl" w:cs="FrankRuehl" w:hint="cs"/>
          <w:color w:val="000000"/>
          <w:spacing w:val="10"/>
          <w:sz w:val="28"/>
          <w:szCs w:val="28"/>
          <w:rtl/>
        </w:rPr>
        <w:t>״ (</w:t>
      </w:r>
      <w:r w:rsidRPr="00BF67D5">
        <w:rPr>
          <w:rFonts w:ascii="FrankRuehl" w:hAnsi="FrankRuehl" w:cs="FrankRuehl"/>
          <w:color w:val="000000"/>
          <w:spacing w:val="10"/>
          <w:sz w:val="28"/>
          <w:szCs w:val="28"/>
          <w:rtl/>
        </w:rPr>
        <w:t>סעיף 22(א) לחוק הרשויות המקומיות (בחירת ראש הרשות וסגניו וכהונתם), תשל״ה-1975); כי הכנסת רשאית להעביר מכהונה ראש ממשלה שהורשע בעבירה שיש עימה קלון (סעיף 18(א) לחוק); וכי ראש ממשלה שהורשע בעבירה שיש עימה קלון בפסק דין סופי – תיפסק כהונתו (סעיף 18(ד) לחוק). עוד יוזכר כי סעיף 17 לחוק דן בהיבטים שונים של חקירת ראש ממשלה בתקופת כהונתו ואחריה, ובהגשת כתב אישום נגדו.</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ind w:firstLine="720"/>
        <w:jc w:val="both"/>
        <w:textAlignment w:val="auto"/>
        <w:rPr>
          <w:rFonts w:cs="Times New Roman"/>
          <w:spacing w:val="10"/>
          <w:sz w:val="24"/>
          <w:lang w:bidi="ar-SA"/>
        </w:rPr>
      </w:pPr>
      <w:r w:rsidRPr="00BF67D5">
        <w:rPr>
          <w:rFonts w:ascii="FrankRuehl" w:hAnsi="FrankRuehl" w:cs="FrankRuehl"/>
          <w:color w:val="000000"/>
          <w:spacing w:val="10"/>
          <w:sz w:val="28"/>
          <w:szCs w:val="28"/>
          <w:rtl/>
        </w:rPr>
        <w:t>באשר למועמדים לכנסת, החוק קובע כי מי שהורשע בעבירה שיש עימה קלון ונידון לעונש מאסר של מעל שלושה חודשים, לא יוכל להיבחר לכנסת בטרם עברו שבע שנים מהיום שבו סיים לרצות את עונשו (סעיף 6 לחוק יסוד: הכנסת). באשר לחברי כנסת מכהנים, החוק קובע כי מי שהורשע בעבירה שיש עימה קלון יושעה מתפקידו עד למתן פסק דין סופי בעניינו (סעיף 42ב לחוק יסוד: הכנסת), ולאחר מתן פסק דין סופי – תיפסק חברותו בכנסת (סעיף 42א(א) לחוק יסוד: הכנסת). עולה אפוא כי כאמור, אין בחוקים השונים התייחסות למצב של חבר כנסת ששואף לכהן כראש ממשלה והוגש נגדו כתב אישום אך הוא לא הורשע. כמובן, זהו סיווג מיוחד – אם תרצו, מיזוג מיוחד: לא ככל חבר כנסת אך לא ראש ממשלה. היעדר התייחסות מעלה, כאמור, אפשרויות פרשניות שונות. אולם עמדנו לעיל על ההבחנה, הרלוונטית לענייננו, בין כשירות לשיקול דעת. כאן עסקינן בהיקף שיקול הדעת של הכנסת וטבעו, וכנגזרת מכך, בהיקף הביקורת השיפוטית על החלטתה זו.</w:t>
      </w:r>
    </w:p>
    <w:p w:rsidR="002A6B50" w:rsidRPr="00BF67D5" w:rsidRDefault="002A6B50" w:rsidP="002A6B50">
      <w:pPr>
        <w:overflowPunct/>
        <w:autoSpaceDE/>
        <w:autoSpaceDN/>
        <w:adjustRightInd/>
        <w:spacing w:line="360" w:lineRule="auto"/>
        <w:jc w:val="both"/>
        <w:textAlignment w:val="auto"/>
        <w:rPr>
          <w:rFonts w:cs="Times New Roman"/>
          <w:spacing w:val="10"/>
          <w:sz w:val="24"/>
          <w:lang w:bidi="ar-SA"/>
        </w:rPr>
      </w:pPr>
    </w:p>
    <w:p w:rsidR="002A6B50"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יש הרוצים לקבוע כללים על סמך עיקרון של</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קל וחומ</w:t>
      </w:r>
      <w:r>
        <w:rPr>
          <w:rFonts w:ascii="FrankRuehl" w:hAnsi="FrankRuehl" w:cs="FrankRuehl" w:hint="cs"/>
          <w:color w:val="000000"/>
          <w:spacing w:val="10"/>
          <w:sz w:val="28"/>
          <w:szCs w:val="28"/>
          <w:rtl/>
        </w:rPr>
        <w:t>ר״: א</w:t>
      </w:r>
      <w:r w:rsidRPr="00BF67D5">
        <w:rPr>
          <w:rFonts w:ascii="FrankRuehl" w:hAnsi="FrankRuehl" w:cs="FrankRuehl"/>
          <w:color w:val="000000"/>
          <w:spacing w:val="10"/>
          <w:sz w:val="28"/>
          <w:szCs w:val="28"/>
          <w:rtl/>
        </w:rPr>
        <w:t>ם בהגשת כתב אישום נגד שר יש כדי להצדיק העברתו מתפקידו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דרעי</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ועניין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פנחסי</w:t>
      </w:r>
      <w:r>
        <w:rPr>
          <w:rFonts w:ascii="FrankRuehl" w:hAnsi="FrankRuehl" w:cs="FrankRuehl" w:hint="cs"/>
          <w:color w:val="000000"/>
          <w:spacing w:val="10"/>
          <w:sz w:val="28"/>
          <w:szCs w:val="28"/>
          <w:rtl/>
        </w:rPr>
        <w:t>), ק</w:t>
      </w:r>
      <w:r w:rsidRPr="00BF67D5">
        <w:rPr>
          <w:rFonts w:ascii="FrankRuehl" w:hAnsi="FrankRuehl" w:cs="FrankRuehl"/>
          <w:color w:val="000000"/>
          <w:spacing w:val="10"/>
          <w:sz w:val="28"/>
          <w:szCs w:val="28"/>
          <w:rtl/>
        </w:rPr>
        <w:t>ל וחומר לגבי ראש ממשלה – או מועמד לראשות ממשלה – מתוקף תפקידו. כך אפשר לטעון על-פי גישה ערכית-נורמטיבית. ואולם, מתברר כי העיקרון של</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קל וחומ</w:t>
      </w:r>
      <w:r>
        <w:rPr>
          <w:rFonts w:ascii="FrankRuehl" w:hAnsi="FrankRuehl" w:cs="FrankRuehl" w:hint="cs"/>
          <w:color w:val="000000"/>
          <w:spacing w:val="10"/>
          <w:sz w:val="28"/>
          <w:szCs w:val="28"/>
          <w:rtl/>
        </w:rPr>
        <w:t>ר״</w:t>
      </w:r>
      <w:r>
        <w:rPr>
          <w:rFonts w:ascii="FrankRuehl" w:hAnsi="FrankRuehl" w:cs="Times New Roman" w:hint="cs"/>
          <w:color w:val="000000"/>
          <w:spacing w:val="10"/>
          <w:sz w:val="28"/>
          <w:szCs w:val="28"/>
          <w:rtl/>
          <w:lang w:bidi="ar-SA"/>
        </w:rPr>
        <w:t xml:space="preserve"> </w:t>
      </w:r>
      <w:r w:rsidRPr="00BF67D5">
        <w:rPr>
          <w:rFonts w:ascii="FrankRuehl" w:hAnsi="FrankRuehl" w:cs="FrankRuehl"/>
          <w:color w:val="000000"/>
          <w:spacing w:val="10"/>
          <w:sz w:val="28"/>
          <w:szCs w:val="28"/>
          <w:rtl/>
        </w:rPr>
        <w:t>פועל בשני הכיוונים. כאמור, ראש ממשלה מכהן יועבר מכהונתו רק אחרי הרשעה חלוטה, כאשר שר מכהן יועבר מכהונתו בשלב מוקדם יותר, כמצוין לעיל. נדמה כי אחד הטעמים לכך הוא כי הפסקת כהונתו של ראש ממשלה מובילה להתפטרות הממשלה, מה שאינו נכון לגבי שר. כך גם פסילת מועמד להרכבת ממשלה על-פי החלטת רוב חברי הכנסת יכולה להביא לבחירות נוספות. לפי גישה נוספת המקשה לקבוע ״קל וחומר״ בכיוון הראשון, לנוכח הבכירות שבתפקידו של ראש הממשלה, והרגישות הכרוכה בו, יש להמעיט בהתערבות.</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p>
    <w:p w:rsidR="002A6B50" w:rsidRPr="00BF67D5" w:rsidRDefault="002A6B50" w:rsidP="002A6B50">
      <w:pPr>
        <w:pStyle w:val="Ruller4"/>
        <w:numPr>
          <w:ilvl w:val="0"/>
          <w:numId w:val="1"/>
        </w:numPr>
        <w:tabs>
          <w:tab w:val="num" w:pos="907"/>
        </w:tabs>
        <w:ind w:left="0"/>
        <w:rPr>
          <w:rFonts w:cs="Times New Roman"/>
          <w:lang w:bidi="ar-SA"/>
        </w:rPr>
      </w:pPr>
      <w:r w:rsidRPr="00BF67D5">
        <w:rPr>
          <w:rFonts w:ascii="FrankRuehl" w:hAnsi="FrankRuehl"/>
          <w:color w:val="000000"/>
          <w:sz w:val="28"/>
          <w:rtl/>
        </w:rPr>
        <w:t>משעמדנו על כך שהגורם המכריע הוא הכנסת, ומשהצגנו את סעיפי החוק השונים, יש להידרש לשאלת היקף שיקול הדעת ש</w:t>
      </w:r>
      <w:r>
        <w:rPr>
          <w:rFonts w:ascii="FrankRuehl" w:hAnsi="FrankRuehl"/>
          <w:color w:val="000000"/>
          <w:sz w:val="28"/>
          <w:rtl/>
        </w:rPr>
        <w:t>ל הכנסת. וכאן יש לתת את הדעת על</w:t>
      </w:r>
      <w:r>
        <w:rPr>
          <w:rFonts w:ascii="FrankRuehl" w:hAnsi="FrankRuehl" w:hint="cs"/>
          <w:color w:val="000000"/>
          <w:sz w:val="28"/>
          <w:rtl/>
        </w:rPr>
        <w:t xml:space="preserve"> </w:t>
      </w:r>
      <w:r w:rsidRPr="00BF67D5">
        <w:rPr>
          <w:rFonts w:ascii="FrankRuehl" w:hAnsi="FrankRuehl"/>
          <w:color w:val="000000"/>
          <w:sz w:val="28"/>
          <w:rtl/>
        </w:rPr>
        <w:t xml:space="preserve">מיהותו ועל טיבו של הגורם שבו עסקינן. </w:t>
      </w:r>
      <w:r>
        <w:rPr>
          <w:rFonts w:ascii="FrankRuehl" w:hAnsi="FrankRuehl" w:hint="cs"/>
          <w:color w:val="000000"/>
          <w:sz w:val="28"/>
          <w:rtl/>
        </w:rPr>
        <w:t>ה</w:t>
      </w:r>
      <w:r w:rsidRPr="00BF67D5">
        <w:rPr>
          <w:rFonts w:ascii="FrankRuehl" w:hAnsi="FrankRuehl"/>
          <w:color w:val="000000"/>
          <w:sz w:val="28"/>
          <w:rtl/>
        </w:rPr>
        <w:t xml:space="preserve">החלטה </w:t>
      </w:r>
      <w:r>
        <w:rPr>
          <w:rFonts w:ascii="FrankRuehl" w:hAnsi="FrankRuehl" w:hint="cs"/>
          <w:color w:val="000000"/>
          <w:sz w:val="28"/>
          <w:rtl/>
        </w:rPr>
        <w:t xml:space="preserve">הנידונה </w:t>
      </w:r>
      <w:r w:rsidRPr="00BF67D5">
        <w:rPr>
          <w:rFonts w:ascii="FrankRuehl" w:hAnsi="FrankRuehl"/>
          <w:color w:val="000000"/>
          <w:sz w:val="28"/>
          <w:rtl/>
        </w:rPr>
        <w:t xml:space="preserve">של הכנסת אינה החלטה מנהלית. הרשות </w:t>
      </w:r>
      <w:r>
        <w:rPr>
          <w:rFonts w:ascii="FrankRuehl" w:hAnsi="FrankRuehl" w:hint="cs"/>
          <w:color w:val="000000"/>
          <w:sz w:val="28"/>
          <w:rtl/>
        </w:rPr>
        <w:t>"הנבחרת-בוחרת"</w:t>
      </w:r>
      <w:r w:rsidRPr="00BF67D5">
        <w:rPr>
          <w:rFonts w:ascii="FrankRuehl" w:hAnsi="FrankRuehl"/>
          <w:color w:val="000000"/>
          <w:sz w:val="28"/>
          <w:rtl/>
        </w:rPr>
        <w:t xml:space="preserve"> אינה הרשות המבצעת. שיקול הדעת של חברי הכנסת בבואם לבחור מועמד שעליו ימליצו להרכיב ממשלה ולעמוד בראשה, וכן בבואם לתת אמון בממשלה בהתאם, הוא שיקול דעת רחב. זהו שיקול דעת פוליטי באופיו המורכב משיקולים רבים ומגוונים – קואליציוניים, אידיאולוגיים, ציבוריים, חברתיים, כלכליים ומעשיים. אמות המידה להתערבות בשיקול הדעת של גורם מנהלי אינן חלות עליו, לכל הפחות באופן זהה. פתח ההתערבות הוא צר.</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jc w:val="both"/>
        <w:textAlignment w:val="auto"/>
        <w:rPr>
          <w:rFonts w:cs="Times New Roman"/>
          <w:spacing w:val="10"/>
          <w:sz w:val="24"/>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החלטה של הרשות המחוקקת</w:t>
      </w:r>
      <w:r>
        <w:rPr>
          <w:rFonts w:ascii="FrankRuehl" w:hAnsi="FrankRuehl" w:cs="FrankRuehl" w:hint="cs"/>
          <w:color w:val="000000"/>
          <w:spacing w:val="10"/>
          <w:sz w:val="28"/>
          <w:szCs w:val="28"/>
          <w:rtl/>
        </w:rPr>
        <w:t xml:space="preserve"> בעניין כגון דא</w:t>
      </w:r>
      <w:r w:rsidRPr="00BF67D5">
        <w:rPr>
          <w:rFonts w:ascii="FrankRuehl" w:hAnsi="FrankRuehl" w:cs="FrankRuehl"/>
          <w:color w:val="000000"/>
          <w:spacing w:val="10"/>
          <w:sz w:val="28"/>
          <w:szCs w:val="28"/>
          <w:rtl/>
        </w:rPr>
        <w:t>, בניגוד להחלטה מנהלית של גורם מוסמך ברשות המבצעת, היא החלטה שבמהותה שְעוּנה על יסוד דמוקרטי איתן. בבסיסה עומד העיקרון הדמוקרטי המרכזי שעליו מבוססת שיטת המשטר בישראל – דמוקרטיה ייצוגית שנציגיה הנבחרים מקבלים החלטות בשם ציבור בוחריהם לפי הכרעת הרוב.</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jc w:val="both"/>
        <w:textAlignment w:val="auto"/>
        <w:rPr>
          <w:rFonts w:cs="Times New Roman"/>
          <w:spacing w:val="10"/>
          <w:sz w:val="24"/>
          <w:lang w:bidi="ar-SA"/>
        </w:rPr>
      </w:pP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 xml:space="preserve">ברם, המיקוד אינו רק בגורם המחליט – הכנסת – אלא גם במהות ההחלטה. נדמה כי ההחלטה הנידונה היא בעלת מעמד מיוחד. כפי שהובהר לעיל, המדובר בישורת האחרונה בהליך הבחירות. לאחר שהנשיא לא הצליח לאתר מועמד שבכוחו להרכיב ממשלה, נותרה אפשרות נוספת אחת: הנשיא מעביר את ההכרעה לכנסת, כדי שחברי הכנסת יוכלו לגבש רוב ולבחור בעצמם על מי יוטל תפקיד הרכבת הממשלה. אי הצלחה במשימה מביאה לבחירות נוספות. היה ויוסכם על מועמד והתפקיד </w:t>
      </w:r>
      <w:r>
        <w:rPr>
          <w:rFonts w:ascii="FrankRuehl" w:hAnsi="FrankRuehl" w:cs="FrankRuehl" w:hint="cs"/>
          <w:color w:val="000000"/>
          <w:spacing w:val="10"/>
          <w:sz w:val="28"/>
          <w:szCs w:val="28"/>
          <w:rtl/>
        </w:rPr>
        <w:t>י</w:t>
      </w:r>
      <w:r w:rsidRPr="00BF67D5">
        <w:rPr>
          <w:rFonts w:ascii="FrankRuehl" w:hAnsi="FrankRuehl" w:cs="FrankRuehl"/>
          <w:color w:val="000000"/>
          <w:spacing w:val="10"/>
          <w:sz w:val="28"/>
          <w:szCs w:val="28"/>
          <w:rtl/>
        </w:rPr>
        <w:t>וטל עליו – ישנם 14 יום להרכבת הממשלה (סעיף 10(ג) לחוק). הנה כי כן, הכנסת פועלת בתפקיד מכריע בהליך הבחירות – קביעת זהותו של מי שירכיב את הממשלה ויעמוד בראשה. הוא אשר אמרנו, עסקינן בשיקול דעת פרלמנטרי מובהק ביחס להחלטה שקושרת באופן ישיר בין הבוחר לבין תוצאות הבחירות. כך המצב, בין אם הכנסת מצליחה במלאכת הרכבת הממשלה, ובין אם לאו.</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ind w:firstLine="720"/>
        <w:jc w:val="both"/>
        <w:textAlignment w:val="auto"/>
        <w:rPr>
          <w:rFonts w:cs="Times New Roman"/>
          <w:spacing w:val="10"/>
          <w:sz w:val="24"/>
          <w:lang w:bidi="ar-SA"/>
        </w:rPr>
      </w:pPr>
      <w:r w:rsidRPr="00BF67D5">
        <w:rPr>
          <w:rFonts w:ascii="FrankRuehl" w:hAnsi="FrankRuehl" w:cs="FrankRuehl"/>
          <w:color w:val="000000"/>
          <w:spacing w:val="10"/>
          <w:sz w:val="28"/>
          <w:szCs w:val="28"/>
          <w:rtl/>
        </w:rPr>
        <w:t>הפגיעה ברצון הבוחרים היא אפוא בלתי-מבוטלת. ההחלטה שבמוקד הדיון היא החלטה על הרכבת הממשלה. אין צורך להכביר במילים על חשיבותה של הכרעה זו לעיצוב פניה של המדינה ולחייהם של הבוחרים. הכרעה זו נעשית בסמוך למועד הבחירות, ושלא כמו כל החלטה של הכנסת, היא נעשית בזיקה ישירה לתוצאותיהן. יוצא כי היקף שיקול הדעת בהכרעה כגון דא רחב ביותר. זאת, הן בשל הגורם המחליט והן בשל טיב ההחלטה. החיבור בין השניים מעצים את כוחה הייחודי של ההכרעה בעניין זהותו של מי שירכיב את הממשלה ויעמוד בראשה. הפתח הצר להתערבות נעשה צר יותר.</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pStyle w:val="Ruller4"/>
        <w:numPr>
          <w:ilvl w:val="0"/>
          <w:numId w:val="1"/>
        </w:numPr>
        <w:tabs>
          <w:tab w:val="num" w:pos="907"/>
        </w:tabs>
        <w:ind w:left="0"/>
        <w:rPr>
          <w:rFonts w:cs="Times New Roman"/>
          <w:rtl/>
          <w:lang w:bidi="ar-SA"/>
        </w:rPr>
      </w:pPr>
      <w:r w:rsidRPr="00BF67D5">
        <w:rPr>
          <w:rFonts w:ascii="FrankRuehl" w:hAnsi="FrankRuehl"/>
          <w:color w:val="000000"/>
          <w:sz w:val="28"/>
          <w:rtl/>
        </w:rPr>
        <w:t>ההתמקדות בשיקול דעתה של הכנסת – לה</w:t>
      </w:r>
      <w:r>
        <w:rPr>
          <w:rFonts w:ascii="FrankRuehl" w:hAnsi="FrankRuehl"/>
          <w:color w:val="000000"/>
          <w:sz w:val="28"/>
          <w:rtl/>
        </w:rPr>
        <w:t>בדיל משיקול דעתו של גורם מנהלי</w:t>
      </w:r>
      <w:r>
        <w:rPr>
          <w:rFonts w:ascii="FrankRuehl" w:hAnsi="FrankRuehl" w:hint="cs"/>
          <w:color w:val="000000"/>
          <w:sz w:val="28"/>
          <w:rtl/>
        </w:rPr>
        <w:t xml:space="preserve"> </w:t>
      </w:r>
      <w:r>
        <w:rPr>
          <w:rFonts w:ascii="FrankRuehl" w:hAnsi="FrankRuehl"/>
          <w:color w:val="000000"/>
          <w:sz w:val="28"/>
          <w:rtl/>
        </w:rPr>
        <w:t>–</w:t>
      </w:r>
      <w:r w:rsidRPr="00BF67D5">
        <w:rPr>
          <w:rFonts w:ascii="FrankRuehl" w:hAnsi="FrankRuehl"/>
          <w:color w:val="000000"/>
          <w:sz w:val="28"/>
          <w:rtl/>
        </w:rPr>
        <w:t xml:space="preserve"> חושפת הבדל מהותי בין מקרה דנן לבין המקרים שעליהם נסובו פסקי דין קודמים של בית משפט זה, שעסקו בהעברה מתפקיד של שר וסגן שר שהוגשו נגדם כתבי אישום חמורים בעבירות שחיתות (עניין</w:t>
      </w:r>
      <w:r w:rsidRPr="00BF67D5">
        <w:rPr>
          <w:rFonts w:ascii="FrankRuehl" w:hAnsi="FrankRuehl" w:cs="Times New Roman"/>
          <w:color w:val="000000"/>
          <w:sz w:val="28"/>
          <w:rtl/>
          <w:lang w:bidi="ar-SA"/>
        </w:rPr>
        <w:t xml:space="preserve"> </w:t>
      </w:r>
      <w:r w:rsidRPr="00632E36">
        <w:rPr>
          <w:rFonts w:ascii="Century" w:hAnsi="Century" w:cs="Miriam"/>
          <w:b/>
          <w:spacing w:val="0"/>
          <w:sz w:val="22"/>
          <w:szCs w:val="24"/>
          <w:rtl/>
        </w:rPr>
        <w:t>דרעי</w:t>
      </w:r>
      <w:r w:rsidRPr="00632E36">
        <w:rPr>
          <w:rFonts w:ascii="FrankRuehl" w:hAnsi="FrankRuehl" w:cs="Times New Roman"/>
          <w:color w:val="000000"/>
          <w:sz w:val="28"/>
          <w:rtl/>
          <w:lang w:bidi="ar-SA"/>
        </w:rPr>
        <w:t xml:space="preserve"> </w:t>
      </w:r>
      <w:r w:rsidRPr="00BF67D5">
        <w:rPr>
          <w:rFonts w:ascii="FrankRuehl" w:hAnsi="FrankRuehl"/>
          <w:color w:val="000000"/>
          <w:sz w:val="28"/>
          <w:rtl/>
        </w:rPr>
        <w:t>ועניין</w:t>
      </w:r>
      <w:r w:rsidRPr="00BF67D5">
        <w:rPr>
          <w:rFonts w:ascii="FrankRuehl" w:hAnsi="FrankRuehl" w:cs="Times New Roman"/>
          <w:color w:val="000000"/>
          <w:sz w:val="28"/>
          <w:rtl/>
          <w:lang w:bidi="ar-SA"/>
        </w:rPr>
        <w:t xml:space="preserve"> </w:t>
      </w:r>
      <w:r w:rsidRPr="00632E36">
        <w:rPr>
          <w:rFonts w:ascii="Century" w:hAnsi="Century" w:cs="Miriam"/>
          <w:b/>
          <w:spacing w:val="0"/>
          <w:sz w:val="22"/>
          <w:szCs w:val="24"/>
          <w:rtl/>
        </w:rPr>
        <w:t>פנחסי</w:t>
      </w:r>
      <w:r>
        <w:rPr>
          <w:rFonts w:ascii="FrankRuehl" w:hAnsi="FrankRuehl" w:hint="cs"/>
          <w:color w:val="000000"/>
          <w:sz w:val="28"/>
          <w:rtl/>
        </w:rPr>
        <w:t>). א</w:t>
      </w:r>
      <w:r w:rsidRPr="00BF67D5">
        <w:rPr>
          <w:rFonts w:ascii="FrankRuehl" w:hAnsi="FrankRuehl"/>
          <w:color w:val="000000"/>
          <w:sz w:val="28"/>
          <w:rtl/>
        </w:rPr>
        <w:t>ותן עתירות הוגשו כנגד הימנעות ראש הממשלה מהעברתם מתפקידם, חרף כתבי האישום האמורים. בית המשפט קיבל את העתירות בקבעו כי בנסיבות מקרים אלו, הימנעות ראש הממשלה מהעברת השר וסגן-השר מתפקידם היא בלתי-סבירה באופן קיצוני. הביקורת השיפוטית באותם מקרים הייתה אפוא על שיקול דעתו של ראש הממשלה – הגורם המוסמך להעביר שר מתפקידו, בהתאם לסעיפים 22(ב) ו-26(3) לחוק יסוד: הממשלה. שיקול דעתו של ראש הממשלה הוא אמנם רחב ביותר (עניין</w:t>
      </w:r>
      <w:r w:rsidRPr="00BF67D5">
        <w:rPr>
          <w:rFonts w:ascii="FrankRuehl" w:hAnsi="FrankRuehl" w:cs="Times New Roman"/>
          <w:color w:val="000000"/>
          <w:sz w:val="28"/>
          <w:rtl/>
          <w:lang w:bidi="ar-SA"/>
        </w:rPr>
        <w:t xml:space="preserve"> </w:t>
      </w:r>
      <w:r w:rsidRPr="00632E36">
        <w:rPr>
          <w:rFonts w:ascii="Century" w:hAnsi="Century" w:cs="Miriam"/>
          <w:b/>
          <w:spacing w:val="0"/>
          <w:sz w:val="22"/>
          <w:szCs w:val="24"/>
          <w:rtl/>
        </w:rPr>
        <w:t>פנחסי</w:t>
      </w:r>
      <w:r>
        <w:rPr>
          <w:rFonts w:ascii="FrankRuehl" w:hAnsi="FrankRuehl" w:hint="cs"/>
          <w:color w:val="000000"/>
          <w:sz w:val="28"/>
          <w:rtl/>
        </w:rPr>
        <w:t>, פ</w:t>
      </w:r>
      <w:r w:rsidRPr="00BF67D5">
        <w:rPr>
          <w:rFonts w:ascii="FrankRuehl" w:hAnsi="FrankRuehl"/>
          <w:color w:val="000000"/>
          <w:sz w:val="28"/>
          <w:rtl/>
        </w:rPr>
        <w:t>ס׳ 28) – הן ככלל, ביחס לגורמי מנהל אחרים, והן בפרט בעניין זה – אולם הוא כפוף לאמות המידה של המשפט המנהלי (שם, פס׳ 29). משכך הוא שונה במהותו משיקול דעתה של הכנסת שאינה רשות מנהלית.</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דברים אלו יפים גם לעניין ההבחנה בין שיקול דעתה של הכנסת לבין שיקול דעתה של מועצה של רשות מקומית, שנידונה במקרים של ראשי עיריות שהוגשו נגדם כתבי אישום חמורים בעבירות שחיתות (בג״ץ 4921/13</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אומ"ץ אזרחים למען מנהל תקין וצדק חברתי נ' ראש עיריית רמת השרון, יצחק רוכברגר</w:t>
      </w:r>
      <w:r>
        <w:rPr>
          <w:rFonts w:ascii="FrankRuehl" w:hAnsi="FrankRuehl" w:cs="FrankRuehl" w:hint="cs"/>
          <w:color w:val="000000"/>
          <w:spacing w:val="10"/>
          <w:sz w:val="28"/>
          <w:szCs w:val="28"/>
          <w:rtl/>
        </w:rPr>
        <w:t>, פ</w:t>
      </w:r>
      <w:r w:rsidRPr="00BF67D5">
        <w:rPr>
          <w:rFonts w:ascii="FrankRuehl" w:hAnsi="FrankRuehl" w:cs="FrankRuehl"/>
          <w:color w:val="000000"/>
          <w:spacing w:val="10"/>
          <w:sz w:val="28"/>
          <w:szCs w:val="28"/>
          <w:rtl/>
        </w:rPr>
        <w:t>״ד סו(3) 135 (2013) (להלן: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ראשי הערים</w:t>
      </w:r>
      <w:r>
        <w:rPr>
          <w:rFonts w:ascii="FrankRuehl" w:hAnsi="FrankRuehl" w:cs="FrankRuehl" w:hint="cs"/>
          <w:color w:val="000000"/>
          <w:spacing w:val="10"/>
          <w:sz w:val="28"/>
          <w:szCs w:val="28"/>
          <w:rtl/>
        </w:rPr>
        <w:t>)). ב</w:t>
      </w:r>
      <w:r w:rsidRPr="00BF67D5">
        <w:rPr>
          <w:rFonts w:ascii="FrankRuehl" w:hAnsi="FrankRuehl" w:cs="FrankRuehl"/>
          <w:color w:val="000000"/>
          <w:spacing w:val="10"/>
          <w:sz w:val="28"/>
          <w:szCs w:val="28"/>
          <w:rtl/>
        </w:rPr>
        <w:t>יחס למקרים אלו נקבע כי בנסיבותיהם, הגשת כתבי האישום החמורים נגד ראשי העיריות מחייבת את מועצות הרשויות המקומיות להפעיל את סמכותן הקבועה בסעיף 22(א) לחוק הרשויות המקומיות (בחירת ראש הרשות וסגניו וכהונתם) ולהעבירם מתפקידם. בפסק דינו עמד בית המשפט על כך שאמנם מועצת הרשות המקומית מכהנת לעניין חקיקת משנה כמו ״רשות מחוקקת זוטא״, אולם תפקידה העיקרי הוא כשל רשות מבצעת (שם, פס׳ 35 לפסק דינה של המשנה לנשיא</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מ׳ נאור</w:t>
      </w:r>
      <w:r>
        <w:rPr>
          <w:rFonts w:ascii="FrankRuehl" w:hAnsi="FrankRuehl" w:cs="FrankRuehl" w:hint="cs"/>
          <w:color w:val="000000"/>
          <w:spacing w:val="10"/>
          <w:sz w:val="28"/>
          <w:szCs w:val="28"/>
          <w:rtl/>
        </w:rPr>
        <w:t>). ע</w:t>
      </w:r>
      <w:r w:rsidRPr="00BF67D5">
        <w:rPr>
          <w:rFonts w:ascii="FrankRuehl" w:hAnsi="FrankRuehl" w:cs="FrankRuehl"/>
          <w:color w:val="000000"/>
          <w:spacing w:val="10"/>
          <w:sz w:val="28"/>
          <w:szCs w:val="28"/>
          <w:rtl/>
        </w:rPr>
        <w:t>ל כן, אין מקום להפעיל את הריסון הרב שיש לנקוט כלפי החלטותיה של הכנסת גם על החלטותיה של מועצת הרשות המקומית, אלא יש להחיל את אמות המידה לביקורת שיפוטית שהוחלו בעניין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דרעי</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ובעניין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פנחסי</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גם על נבחרי ציבור ברשויות מקומיות (שם).</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Pr>
          <w:rFonts w:ascii="FrankRuehl" w:hAnsi="FrankRuehl" w:cs="FrankRuehl"/>
          <w:color w:val="000000"/>
          <w:spacing w:val="10"/>
          <w:sz w:val="28"/>
          <w:szCs w:val="28"/>
          <w:rtl/>
        </w:rPr>
        <w:t>צ</w:t>
      </w:r>
      <w:r>
        <w:rPr>
          <w:rFonts w:ascii="FrankRuehl" w:hAnsi="FrankRuehl" w:cs="FrankRuehl" w:hint="cs"/>
          <w:color w:val="000000"/>
          <w:spacing w:val="10"/>
          <w:sz w:val="28"/>
          <w:szCs w:val="28"/>
          <w:rtl/>
        </w:rPr>
        <w:t>ו</w:t>
      </w:r>
      <w:r w:rsidRPr="00BF67D5">
        <w:rPr>
          <w:rFonts w:ascii="FrankRuehl" w:hAnsi="FrankRuehl" w:cs="FrankRuehl"/>
          <w:color w:val="000000"/>
          <w:spacing w:val="10"/>
          <w:sz w:val="28"/>
          <w:szCs w:val="28"/>
          <w:rtl/>
        </w:rPr>
        <w:t>ינו לעיל מרכיבים ייחודיים בהחלטת הכנסת הנידונה – מיהות הגורם המכריע ומהות ההחלטה. לצד שני מרכיבים אלו, ישנו מרכיב שלישי הנוגע להתייחסות המפורשת בחוק המסמיך. בעוד שישנם סעיפי חוק ספציפיים המסמיכים את המועצה המקומית להעביר מתפקידו ראש רשות ה</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מתנהג התנהגות שאינה הולמת מעמד</w:t>
      </w:r>
      <w:r>
        <w:rPr>
          <w:rFonts w:ascii="FrankRuehl" w:hAnsi="FrankRuehl" w:cs="FrankRuehl" w:hint="cs"/>
          <w:color w:val="000000"/>
          <w:spacing w:val="10"/>
          <w:sz w:val="28"/>
          <w:szCs w:val="28"/>
          <w:rtl/>
        </w:rPr>
        <w:t>ו״ (</w:t>
      </w:r>
      <w:r w:rsidRPr="00BF67D5">
        <w:rPr>
          <w:rFonts w:ascii="FrankRuehl" w:hAnsi="FrankRuehl" w:cs="FrankRuehl"/>
          <w:color w:val="000000"/>
          <w:spacing w:val="10"/>
          <w:sz w:val="28"/>
          <w:szCs w:val="28"/>
          <w:rtl/>
        </w:rPr>
        <w:t>סעיף 22(א) לחוק הרשויות המקומיות (בחירת ראש הרשות וסגניו וכהונתם)) ואת ראש הממשלה להעביר מתפקידו שר (סעיפים 22(ב) ו-26(3) לחוק יסוד: הממשלה) – אין סעיף חוק המתייחס לשאלת החלטתה של הכנסת בעניין העברה מכהונה של ראש ממשלה שהוגש נגדו כתב אישום, כל שכן בעניין הטלת תפקיד הרכבת הממשלה על חבר כנסת שהוגש נגדו כתב אישום. זאת, בניגוד לסעיף חוק המתייחס באופן מפורש לשיקול הדעת של הכנסת להעביר מכהונתו ראש ממשלה שהורשע בעבירה שיש עימה קלון (סעיף 18(א) לחוק). אמנם כאמור, הכנסת בוודאי רשאית שלא להטיל את תפקיד הרכבת הממשלה על חבר כנסת מסוים מהטעם שהוגש נגדו כתב אישום, והיא אף רשאית בכל עת להביע אי-אמון בממשלה; אולם היעדר סעיף המתייחס למצב שבו אנו מצויים מקרין גם הוא על רוחב שיקול הדעת של הכנסת.</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ומכאן כי שוב יש להצר את פתח ההתערבות השיפוטית בשיקול דעתה של הכנסת בהחלטות כגון דא. צרות זו נובעת כאמור משלושה מרכיבים השלובים זה בזה: טיב הגורם המכריע, מהות ההחלטה הנידונה והיעדר התייחסות מפורשת בחוק. ניתן לומר כי פתח ההתערבות בשיקול הדעת של הכנסת הוא צר-שבצרים. אולם, לא הייתי קובע במסגרת תיק זה כי צר פירושו אפסי. דהיינו, מהנימוקים שפורטו, וכן לנוכח עמדת הכנסת עצמה והמסורת המשפטית של כשירות לחוד ושיקול דעת לחוד, הנוגעת למגוון רחב של החלטות, לא הייתי שולל התערבות באופן מוחלט. בל נשכח כי גם הכנסת כפופה לביקורת שיפוטית (ראו: בג״ץ 2144/20</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התנועה ל</w:t>
      </w:r>
      <w:r>
        <w:rPr>
          <w:rFonts w:ascii="Miriam" w:hAnsi="Miriam" w:cs="Miriam" w:hint="cs"/>
          <w:color w:val="000000"/>
          <w:sz w:val="24"/>
          <w:rtl/>
        </w:rPr>
        <w:t xml:space="preserve">מען </w:t>
      </w:r>
      <w:r w:rsidRPr="00BF67D5">
        <w:rPr>
          <w:rFonts w:ascii="Miriam" w:hAnsi="Miriam" w:cs="Miriam"/>
          <w:color w:val="000000"/>
          <w:sz w:val="24"/>
          <w:rtl/>
        </w:rPr>
        <w:t>איכות השלטון נ׳ יושב ראש הכנסת</w:t>
      </w:r>
      <w:r>
        <w:rPr>
          <w:rFonts w:ascii="FrankRuehl" w:hAnsi="FrankRuehl" w:cs="FrankRuehl" w:hint="cs"/>
          <w:color w:val="000000"/>
          <w:spacing w:val="10"/>
          <w:sz w:val="28"/>
          <w:szCs w:val="28"/>
          <w:rtl/>
        </w:rPr>
        <w:t>, פ</w:t>
      </w:r>
      <w:r w:rsidRPr="00BF67D5">
        <w:rPr>
          <w:rFonts w:ascii="FrankRuehl" w:hAnsi="FrankRuehl" w:cs="FrankRuehl"/>
          <w:color w:val="000000"/>
          <w:spacing w:val="10"/>
          <w:sz w:val="28"/>
          <w:szCs w:val="28"/>
          <w:rtl/>
        </w:rPr>
        <w:t>ס' 3 לפסק דינו של השופט</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י׳ עמית</w:t>
      </w:r>
      <w:r w:rsidRPr="00BF67D5">
        <w:rPr>
          <w:rFonts w:ascii="FrankRuehl" w:hAnsi="FrankRuehl" w:cs="Times New Roman"/>
          <w:color w:val="000000"/>
          <w:spacing w:val="10"/>
          <w:sz w:val="28"/>
          <w:szCs w:val="28"/>
          <w:rtl/>
          <w:lang w:bidi="ar-SA"/>
        </w:rPr>
        <w:t xml:space="preserve"> </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23.3.2020</w:t>
      </w:r>
      <w:r>
        <w:rPr>
          <w:rFonts w:ascii="FrankRuehl" w:hAnsi="FrankRuehl" w:cs="FrankRuehl" w:hint="cs"/>
          <w:color w:val="000000"/>
          <w:spacing w:val="10"/>
          <w:sz w:val="28"/>
          <w:szCs w:val="28"/>
          <w:rtl/>
        </w:rPr>
        <w:t>) (</w:t>
      </w:r>
      <w:r w:rsidRPr="00BF67D5">
        <w:rPr>
          <w:rFonts w:ascii="FrankRuehl" w:hAnsi="FrankRuehl" w:cs="FrankRuehl"/>
          <w:color w:val="000000"/>
          <w:spacing w:val="10"/>
          <w:sz w:val="28"/>
          <w:szCs w:val="28"/>
          <w:rtl/>
        </w:rPr>
        <w:t>להלן: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יושב ראש הכנסת</w:t>
      </w:r>
      <w:r>
        <w:rPr>
          <w:rFonts w:ascii="FrankRuehl" w:hAnsi="FrankRuehl" w:cs="FrankRuehl" w:hint="cs"/>
          <w:color w:val="000000"/>
          <w:spacing w:val="10"/>
          <w:sz w:val="28"/>
          <w:szCs w:val="28"/>
          <w:rtl/>
        </w:rPr>
        <w:t>)). א</w:t>
      </w:r>
      <w:r w:rsidRPr="00BF67D5">
        <w:rPr>
          <w:rFonts w:ascii="FrankRuehl" w:hAnsi="FrankRuehl" w:cs="FrankRuehl"/>
          <w:color w:val="000000"/>
          <w:spacing w:val="10"/>
          <w:sz w:val="28"/>
          <w:szCs w:val="28"/>
          <w:rtl/>
        </w:rPr>
        <w:t>ף אם יאמר מאן דהוא כי הפתח להתערבות הוא מבחינה מעשית כמעט תיאורטי, בכל זאת, המציאות יצירתית מאוד. פעמים רבות הניסיון מצביע על מגבלת היכולת של בן אנוש לדעת היום את מה שייוולד מחר. ואולם, יש להדגיש שלא די בחוסר סבירות אלא בהחלטה שפוגעת באופן יסודי ושורשי בערכי השיטה הדמוקרטית.</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pStyle w:val="Ruller4"/>
        <w:numPr>
          <w:ilvl w:val="0"/>
          <w:numId w:val="1"/>
        </w:numPr>
        <w:tabs>
          <w:tab w:val="num" w:pos="907"/>
        </w:tabs>
        <w:ind w:left="0"/>
        <w:rPr>
          <w:rFonts w:cs="Times New Roman"/>
          <w:lang w:bidi="ar-SA"/>
        </w:rPr>
      </w:pPr>
      <w:r w:rsidRPr="00BF67D5">
        <w:rPr>
          <w:rFonts w:ascii="FrankRuehl" w:hAnsi="FrankRuehl"/>
          <w:color w:val="000000"/>
          <w:sz w:val="28"/>
          <w:rtl/>
        </w:rPr>
        <w:t>ומן הכלל בחזרה אל הפרט. לשיטת העותרים, החלטת הכנסת להמליץ על מי שהוגש נגדו כתב אישום בעבירות חמורות להרכיב ממשלה ולעמוד בראשה</w:t>
      </w:r>
      <w:r>
        <w:rPr>
          <w:rFonts w:ascii="FrankRuehl" w:hAnsi="FrankRuehl" w:hint="cs"/>
          <w:color w:val="000000"/>
          <w:sz w:val="28"/>
          <w:rtl/>
        </w:rPr>
        <w:t>,</w:t>
      </w:r>
      <w:r w:rsidRPr="00BF67D5">
        <w:rPr>
          <w:rFonts w:ascii="FrankRuehl" w:hAnsi="FrankRuehl"/>
          <w:color w:val="000000"/>
          <w:sz w:val="28"/>
          <w:rtl/>
        </w:rPr>
        <w:t xml:space="preserve"> היא החלטה בלתי-סבירה באופן קיצוני במישור שיקול הדעת, ועל בית המשפט לחייבה להימנע מלעשות כן. בהתאם לאמור לעיל, לא ברור אם תיאור זה כשלעצמו די בו כדי להביא לפסילת החלטת הכנסת. אך נדמה כי חשוב יותר לתאר את תוכן הטענה ולא רק את הכותרת המשפטית שהוענקה לה.</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jc w:val="both"/>
        <w:textAlignment w:val="auto"/>
        <w:rPr>
          <w:rFonts w:cs="Times New Roman"/>
          <w:spacing w:val="10"/>
          <w:sz w:val="24"/>
          <w:lang w:bidi="ar-SA"/>
        </w:rPr>
      </w:pP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 xml:space="preserve">אין מחלוקת על כך שנגד חבר הכנסת נתניהו הוגש כתב אישום המכיל שלושה אישומים – אחד בעבירות שוחד ומרמה והפרת אמונים ושניים בעבירות מרמה והפרת אמונים. על-פי הנטען, העבירות בוצעו בזמן שחבר הכנסת נתניהו </w:t>
      </w:r>
      <w:r w:rsidRPr="00BF67D5">
        <w:rPr>
          <w:rFonts w:ascii="Miriam" w:hAnsi="Miriam" w:cs="Miriam"/>
          <w:color w:val="000000"/>
          <w:sz w:val="24"/>
          <w:rtl/>
        </w:rPr>
        <w:t>כיהן</w:t>
      </w:r>
      <w:r w:rsidRPr="00BF67D5">
        <w:rPr>
          <w:rFonts w:ascii="FrankRuehl" w:hAnsi="FrankRuehl" w:cs="FrankRuehl"/>
          <w:color w:val="000000"/>
          <w:spacing w:val="10"/>
          <w:sz w:val="28"/>
          <w:szCs w:val="28"/>
          <w:rtl/>
        </w:rPr>
        <w:t xml:space="preserve"> כראש ממשלה. נקודה זו אינה חסרת רלוונטיות. אכן, חבר הכנסת נתניהו נהנה מחזקת החפות. ההנחה היא שהוא לא ביצע את העבירות. ברם, הוגש כתב אישום לאחר שימוע ועולה כי לכל הפחות ישנן ראיות מנהליות לביצוע העבירות, ואף ניתן להניח כי ישנן ראיות לכאורה במישור הפלילי.</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עבירות השוחד והפרת האמונים מופיעות בפרק של פגיעות בסדרי השלטון והמשפט בחוק העונשין, תשל</w:t>
      </w:r>
      <w:r>
        <w:rPr>
          <w:rFonts w:ascii="FrankRuehl" w:hAnsi="FrankRuehl" w:cs="FrankRuehl" w:hint="cs"/>
          <w:color w:val="000000"/>
          <w:spacing w:val="10"/>
          <w:sz w:val="28"/>
          <w:szCs w:val="28"/>
          <w:rtl/>
        </w:rPr>
        <w:t>״</w:t>
      </w:r>
      <w:r>
        <w:rPr>
          <w:rFonts w:ascii="FrankRuehl" w:hAnsi="FrankRuehl" w:cs="FrankRuehl"/>
          <w:color w:val="000000"/>
          <w:spacing w:val="10"/>
          <w:sz w:val="28"/>
          <w:szCs w:val="28"/>
          <w:rtl/>
        </w:rPr>
        <w:t>ז</w:t>
      </w:r>
      <w:r>
        <w:rPr>
          <w:rFonts w:ascii="FrankRuehl" w:hAnsi="FrankRuehl" w:cs="FrankRuehl" w:hint="cs"/>
          <w:color w:val="000000"/>
          <w:spacing w:val="10"/>
          <w:sz w:val="28"/>
          <w:szCs w:val="28"/>
          <w:rtl/>
        </w:rPr>
        <w:t>-</w:t>
      </w:r>
      <w:r>
        <w:rPr>
          <w:rFonts w:ascii="FrankRuehl" w:hAnsi="FrankRuehl" w:cs="FrankRuehl"/>
          <w:color w:val="000000"/>
          <w:spacing w:val="10"/>
          <w:sz w:val="28"/>
          <w:szCs w:val="28"/>
          <w:rtl/>
        </w:rPr>
        <w:t>1977</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במעשים מעין אלו יש כדי לפגוע בערך הדמוקרטי של טוהר המידות, בדמות השלטון בישראל ובאמון הציבור ברשויות השלטון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ראשי הערים</w:t>
      </w:r>
      <w:r w:rsidRPr="00BF67D5">
        <w:rPr>
          <w:rFonts w:ascii="FrankRuehl" w:hAnsi="FrankRuehl" w:cs="FrankRuehl"/>
          <w:color w:val="000000"/>
          <w:spacing w:val="10"/>
          <w:sz w:val="28"/>
          <w:szCs w:val="28"/>
          <w:rtl/>
        </w:rPr>
        <w:t>, פסקה 37 לחוות דעת</w:t>
      </w:r>
      <w:r>
        <w:rPr>
          <w:rFonts w:ascii="FrankRuehl" w:hAnsi="FrankRuehl" w:cs="FrankRuehl" w:hint="cs"/>
          <w:color w:val="000000"/>
          <w:spacing w:val="10"/>
          <w:sz w:val="28"/>
          <w:szCs w:val="28"/>
          <w:rtl/>
        </w:rPr>
        <w:t>ה של המשנה לנשיא</w:t>
      </w:r>
      <w:r w:rsidRPr="00BF67D5">
        <w:rPr>
          <w:rFonts w:ascii="FrankRuehl" w:hAnsi="FrankRuehl" w:cs="FrankRuehl"/>
          <w:color w:val="000000"/>
          <w:spacing w:val="10"/>
          <w:sz w:val="28"/>
          <w:szCs w:val="28"/>
          <w:rtl/>
        </w:rPr>
        <w:t xml:space="preserve"> </w:t>
      </w:r>
      <w:r w:rsidRPr="00BF67D5">
        <w:rPr>
          <w:rFonts w:ascii="Miriam" w:hAnsi="Miriam" w:cs="Miriam"/>
          <w:color w:val="000000"/>
          <w:sz w:val="24"/>
          <w:rtl/>
        </w:rPr>
        <w:t>מ' נאור</w:t>
      </w:r>
      <w:r>
        <w:rPr>
          <w:rFonts w:ascii="FrankRuehl" w:hAnsi="FrankRuehl" w:cs="FrankRuehl" w:hint="cs"/>
          <w:color w:val="000000"/>
          <w:spacing w:val="10"/>
          <w:sz w:val="28"/>
          <w:szCs w:val="28"/>
          <w:rtl/>
        </w:rPr>
        <w:t>). ב</w:t>
      </w:r>
      <w:r w:rsidRPr="00BF67D5">
        <w:rPr>
          <w:rFonts w:ascii="FrankRuehl" w:hAnsi="FrankRuehl" w:cs="FrankRuehl"/>
          <w:color w:val="000000"/>
          <w:spacing w:val="10"/>
          <w:sz w:val="28"/>
          <w:szCs w:val="28"/>
          <w:rtl/>
        </w:rPr>
        <w:t>ענייננו, כאמור, העבירות מיוחסות לחבר הכנסת נתניהו בגין</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מעשים שביצע לכאורה בעת מילוי תפקידו כראש ממשלה – התפקיד שבו הוא מתעתד לשוב ולכהן – ולכך חשיבות נוספת (ראו: בג״ץ 232/16</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התנועה למען איכות השלטון בישראל נ' ראש ממשלת ישראל</w:t>
      </w:r>
      <w:r>
        <w:rPr>
          <w:rFonts w:ascii="FrankRuehl" w:hAnsi="FrankRuehl" w:cs="FrankRuehl" w:hint="cs"/>
          <w:color w:val="000000"/>
          <w:spacing w:val="10"/>
          <w:sz w:val="28"/>
          <w:szCs w:val="28"/>
          <w:rtl/>
        </w:rPr>
        <w:t>, פ</w:t>
      </w:r>
      <w:r w:rsidRPr="00BF67D5">
        <w:rPr>
          <w:rFonts w:ascii="FrankRuehl" w:hAnsi="FrankRuehl" w:cs="FrankRuehl"/>
          <w:color w:val="000000"/>
          <w:spacing w:val="10"/>
          <w:sz w:val="28"/>
          <w:szCs w:val="28"/>
          <w:rtl/>
        </w:rPr>
        <w:t>ס׳ 43 לחוות דעתו של השופט</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ס׳ ג׳ובראן</w:t>
      </w:r>
      <w:r>
        <w:rPr>
          <w:rFonts w:ascii="FrankRuehl" w:hAnsi="FrankRuehl" w:cs="FrankRuehl" w:hint="cs"/>
          <w:color w:val="000000"/>
          <w:spacing w:val="10"/>
          <w:sz w:val="28"/>
          <w:szCs w:val="28"/>
          <w:rtl/>
        </w:rPr>
        <w:t>, פ</w:t>
      </w:r>
      <w:r w:rsidRPr="00BF67D5">
        <w:rPr>
          <w:rFonts w:ascii="FrankRuehl" w:hAnsi="FrankRuehl" w:cs="FrankRuehl"/>
          <w:color w:val="000000"/>
          <w:spacing w:val="10"/>
          <w:sz w:val="28"/>
          <w:szCs w:val="28"/>
          <w:rtl/>
        </w:rPr>
        <w:t>ס׳ 10 לחוות דעתי). כבר נפסק כי אמנם עסקינן בתיק פלילי, שבו טרם הורשע הנאשם, אך אין בכך כדי לבטל את החומרה במישור הציבורי (ראו: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דרעי</w:t>
      </w:r>
      <w:r w:rsidRPr="00BF67D5">
        <w:rPr>
          <w:rFonts w:ascii="FrankRuehl" w:hAnsi="FrankRuehl" w:cs="FrankRuehl"/>
          <w:color w:val="000000"/>
          <w:spacing w:val="10"/>
          <w:sz w:val="28"/>
          <w:szCs w:val="28"/>
          <w:rtl/>
        </w:rPr>
        <w:t>,</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פס׳ 18 לפסק דינו של הנשיא</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מ׳ שמגר</w:t>
      </w:r>
      <w:r>
        <w:rPr>
          <w:rFonts w:ascii="FrankRuehl" w:hAnsi="FrankRuehl" w:cs="FrankRuehl" w:hint="cs"/>
          <w:color w:val="000000"/>
          <w:spacing w:val="10"/>
          <w:sz w:val="28"/>
          <w:szCs w:val="28"/>
          <w:rtl/>
        </w:rPr>
        <w:t>; ע</w:t>
      </w:r>
      <w:r w:rsidRPr="00BF67D5">
        <w:rPr>
          <w:rFonts w:ascii="FrankRuehl" w:hAnsi="FrankRuehl" w:cs="FrankRuehl"/>
          <w:color w:val="000000"/>
          <w:spacing w:val="10"/>
          <w:sz w:val="28"/>
          <w:szCs w:val="28"/>
          <w:rtl/>
        </w:rPr>
        <w:t>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פנחסי</w:t>
      </w:r>
      <w:r>
        <w:rPr>
          <w:rFonts w:ascii="FrankRuehl" w:hAnsi="FrankRuehl" w:cs="FrankRuehl" w:hint="cs"/>
          <w:color w:val="000000"/>
          <w:spacing w:val="10"/>
          <w:sz w:val="28"/>
          <w:szCs w:val="28"/>
          <w:rtl/>
        </w:rPr>
        <w:t>, פ</w:t>
      </w:r>
      <w:r w:rsidRPr="00BF67D5">
        <w:rPr>
          <w:rFonts w:ascii="FrankRuehl" w:hAnsi="FrankRuehl" w:cs="FrankRuehl"/>
          <w:color w:val="000000"/>
          <w:spacing w:val="10"/>
          <w:sz w:val="28"/>
          <w:szCs w:val="28"/>
          <w:rtl/>
        </w:rPr>
        <w:t>ס׳ 35). עוד יצוין מעמדו הרם והמיוחד של ראש הממשלה, אשר כשמו כן הוא.</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pStyle w:val="Ruller4"/>
        <w:numPr>
          <w:ilvl w:val="0"/>
          <w:numId w:val="1"/>
        </w:numPr>
        <w:tabs>
          <w:tab w:val="num" w:pos="907"/>
        </w:tabs>
        <w:ind w:left="0"/>
        <w:rPr>
          <w:rFonts w:cs="Times New Roman"/>
          <w:lang w:bidi="ar-SA"/>
        </w:rPr>
      </w:pPr>
      <w:r w:rsidRPr="00BF67D5">
        <w:rPr>
          <w:rFonts w:ascii="FrankRuehl" w:hAnsi="FrankRuehl"/>
          <w:color w:val="000000"/>
          <w:sz w:val="28"/>
          <w:rtl/>
        </w:rPr>
        <w:t>לצד זאת, חומרת העבירות אינה חזות הכל. אף בעניין</w:t>
      </w:r>
      <w:r w:rsidRPr="00BF67D5">
        <w:rPr>
          <w:rFonts w:ascii="FrankRuehl" w:hAnsi="FrankRuehl" w:cs="Times New Roman"/>
          <w:color w:val="000000"/>
          <w:sz w:val="28"/>
          <w:rtl/>
          <w:lang w:bidi="ar-SA"/>
        </w:rPr>
        <w:t xml:space="preserve"> </w:t>
      </w:r>
      <w:r w:rsidRPr="00BF67D5">
        <w:rPr>
          <w:rFonts w:ascii="Miriam" w:hAnsi="Miriam" w:cs="Miriam"/>
          <w:color w:val="000000"/>
          <w:rtl/>
        </w:rPr>
        <w:t>דרעי</w:t>
      </w:r>
      <w:r w:rsidRPr="00BF67D5">
        <w:rPr>
          <w:rFonts w:ascii="FrankRuehl" w:hAnsi="FrankRuehl" w:cs="Times New Roman"/>
          <w:color w:val="000000"/>
          <w:sz w:val="28"/>
          <w:rtl/>
          <w:lang w:bidi="ar-SA"/>
        </w:rPr>
        <w:t xml:space="preserve"> </w:t>
      </w:r>
      <w:r w:rsidRPr="00BF67D5">
        <w:rPr>
          <w:rFonts w:ascii="FrankRuehl" w:hAnsi="FrankRuehl"/>
          <w:color w:val="000000"/>
          <w:sz w:val="28"/>
          <w:rtl/>
        </w:rPr>
        <w:t>ובעניין</w:t>
      </w:r>
      <w:r w:rsidRPr="00BF67D5">
        <w:rPr>
          <w:rFonts w:ascii="FrankRuehl" w:hAnsi="FrankRuehl" w:cs="Times New Roman"/>
          <w:color w:val="000000"/>
          <w:sz w:val="28"/>
          <w:rtl/>
          <w:lang w:bidi="ar-SA"/>
        </w:rPr>
        <w:t xml:space="preserve"> </w:t>
      </w:r>
      <w:r w:rsidRPr="00BF67D5">
        <w:rPr>
          <w:rFonts w:ascii="Miriam" w:hAnsi="Miriam" w:cs="Miriam"/>
          <w:color w:val="000000"/>
          <w:rtl/>
        </w:rPr>
        <w:t>פנחסי</w:t>
      </w:r>
      <w:r>
        <w:rPr>
          <w:rFonts w:ascii="FrankRuehl" w:hAnsi="FrankRuehl" w:hint="cs"/>
          <w:color w:val="000000"/>
          <w:sz w:val="28"/>
          <w:rtl/>
        </w:rPr>
        <w:t>, נ</w:t>
      </w:r>
      <w:r w:rsidRPr="00BF67D5">
        <w:rPr>
          <w:rFonts w:ascii="FrankRuehl" w:hAnsi="FrankRuehl"/>
          <w:color w:val="000000"/>
          <w:sz w:val="28"/>
          <w:rtl/>
        </w:rPr>
        <w:t>קבע כי זה אינו השיקול היחיד שעל ראש הממשלה לקחת בחשבון בהחלטה בדבר העברה מתפקיד של שר שהוגש נגדו כתב אישום – ״שיקולים פרלמנטריים-פוליטיים יכול שיהיו לגיטימיים בנסיבות נתונות״ (עניין</w:t>
      </w:r>
      <w:r w:rsidRPr="00BF67D5">
        <w:rPr>
          <w:rFonts w:ascii="FrankRuehl" w:hAnsi="FrankRuehl" w:cs="Times New Roman"/>
          <w:color w:val="000000"/>
          <w:sz w:val="28"/>
          <w:rtl/>
          <w:lang w:bidi="ar-SA"/>
        </w:rPr>
        <w:t xml:space="preserve"> </w:t>
      </w:r>
      <w:r w:rsidRPr="00BF67D5">
        <w:rPr>
          <w:rFonts w:ascii="Miriam" w:hAnsi="Miriam" w:cs="Miriam"/>
          <w:color w:val="000000"/>
          <w:rtl/>
        </w:rPr>
        <w:t>דרעי</w:t>
      </w:r>
      <w:r>
        <w:rPr>
          <w:rFonts w:ascii="FrankRuehl" w:hAnsi="FrankRuehl" w:hint="cs"/>
          <w:color w:val="000000"/>
          <w:sz w:val="28"/>
          <w:rtl/>
        </w:rPr>
        <w:t>, פ</w:t>
      </w:r>
      <w:r w:rsidRPr="00BF67D5">
        <w:rPr>
          <w:rFonts w:ascii="FrankRuehl" w:hAnsi="FrankRuehl"/>
          <w:color w:val="000000"/>
          <w:sz w:val="28"/>
          <w:rtl/>
        </w:rPr>
        <w:t>ס׳ 20(ד) לפסק דינו של הנשיא</w:t>
      </w:r>
      <w:r w:rsidRPr="00BF67D5">
        <w:rPr>
          <w:rFonts w:ascii="FrankRuehl" w:hAnsi="FrankRuehl" w:cs="Times New Roman"/>
          <w:color w:val="000000"/>
          <w:sz w:val="28"/>
          <w:rtl/>
          <w:lang w:bidi="ar-SA"/>
        </w:rPr>
        <w:t xml:space="preserve"> </w:t>
      </w:r>
      <w:r w:rsidRPr="00BF67D5">
        <w:rPr>
          <w:rFonts w:ascii="Miriam" w:hAnsi="Miriam" w:cs="Miriam"/>
          <w:color w:val="000000"/>
          <w:rtl/>
        </w:rPr>
        <w:t>מ׳ שמגר</w:t>
      </w:r>
      <w:r>
        <w:rPr>
          <w:rFonts w:ascii="FrankRuehl" w:hAnsi="FrankRuehl" w:hint="cs"/>
          <w:color w:val="000000"/>
          <w:sz w:val="28"/>
          <w:rtl/>
        </w:rPr>
        <w:t>. ר</w:t>
      </w:r>
      <w:r w:rsidRPr="00BF67D5">
        <w:rPr>
          <w:rFonts w:ascii="FrankRuehl" w:hAnsi="FrankRuehl"/>
          <w:color w:val="000000"/>
          <w:sz w:val="28"/>
          <w:rtl/>
        </w:rPr>
        <w:t>או גם: שם, פס׳ 15; עניין</w:t>
      </w:r>
      <w:r w:rsidRPr="00BF67D5">
        <w:rPr>
          <w:rFonts w:ascii="FrankRuehl" w:hAnsi="FrankRuehl" w:cs="Times New Roman"/>
          <w:color w:val="000000"/>
          <w:sz w:val="28"/>
          <w:rtl/>
          <w:lang w:bidi="ar-SA"/>
        </w:rPr>
        <w:t xml:space="preserve"> </w:t>
      </w:r>
      <w:r w:rsidRPr="00BF67D5">
        <w:rPr>
          <w:rFonts w:ascii="Miriam" w:hAnsi="Miriam" w:cs="Miriam"/>
          <w:color w:val="000000"/>
          <w:rtl/>
        </w:rPr>
        <w:t>פנחסי</w:t>
      </w:r>
      <w:r>
        <w:rPr>
          <w:rFonts w:ascii="FrankRuehl" w:hAnsi="FrankRuehl" w:hint="cs"/>
          <w:color w:val="000000"/>
          <w:sz w:val="28"/>
          <w:rtl/>
        </w:rPr>
        <w:t>,</w:t>
      </w:r>
      <w:r w:rsidRPr="00BF67D5">
        <w:rPr>
          <w:rFonts w:ascii="FrankRuehl" w:hAnsi="FrankRuehl" w:cs="Times New Roman"/>
          <w:color w:val="000000"/>
          <w:sz w:val="28"/>
          <w:rtl/>
          <w:lang w:bidi="ar-SA"/>
        </w:rPr>
        <w:t xml:space="preserve"> </w:t>
      </w:r>
      <w:r w:rsidRPr="00BF67D5">
        <w:rPr>
          <w:rFonts w:ascii="FrankRuehl" w:hAnsi="FrankRuehl"/>
          <w:color w:val="000000"/>
          <w:sz w:val="28"/>
          <w:rtl/>
        </w:rPr>
        <w:t>פס׳ 30). על כן, נכון לקחת בחשבון גם שיקולים פרלמנטריים ופוליטיים הנוגעים לנסיבות המקרה המסוים. אך בעניין זה הייתי מדגיש שהמשמעות אינה כי בית המשפט יבחן בעצמו שיקולים פרלמנטריים ופוליטיים ברמה הצרה והמעשית, אלא לבחינה במבט מופשט יותר, התואם את תפקידו של בית המשפט להכריע את הדין על-פי שיקולים משפטיים. ואם עסקינן בשיקול דעת הכולל שיקולים פרלמנטריים ופוליטיים, הוא גם מחייב שימת לב למכלול נסיבות השעה הרלוונטיות. העתירות המונחות לפנינו – כמו כל עתירה – הן קונקרטיות ונשנעות על מסכת עובדתית ספציפית. אמנם הן מעוררות שאלה כללית אך היא לבושה בבגדים מסוימים. השאלה דורשת תשובה. ההכרעה עונה למקרה המסוים ולא לכל המקרים.</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והנסיבות חריגות. התקיימו בחירות כלליות בתחילת חודש מרץ השנה. אמנם ניתן לומר כי קיומן של בחירות תואם את השלב שאנו נמצאים בו. ואולם ישנם נתונים שמלווים את המקרה שבעיניי יש להם משקל רב, ואינם בהכרח קיימים תמיד. כוונתי לכך שהבחירות התקיימו כאשר מר נתניהו עמד בראש רשימת הליכוד, ולאחר הגשת כתב האישום נגדו. לא מדובר באירוע שהתרחש אחרי הבחירות. אין עסקינן במידע שהמועמד הסתיר מהבוחר. הנתונים היו ידועים. אף אין טענה כי יש איסור מפורש בדין על האפשרות שיכהן ראש ממשלה שעומד נגדו כתב אישום. אזרחי ישראל יצאו לקלפי והצביעו אדם אדם על-פי מצפונו והבנתו. בחירות לכנסת אינן ניסוי בדמוקרטיה ואינו שיעור באזרחות. זהו אינו עוד סקר אלא הדבר האמיתי. מדובר באירוע שמטרתו להכריע: הקולות נספרים ומובילים לתוצאה.</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ובאשר לתפקיד של ראש הממשלה, הריאליזם הפוליטי מחייב שנאמר זאת: הסקרים הדגישו כי ההתמודדות על מילוי תפקיד ראש הממשלה, בפועל, התקיימה בין שני מועמדים שאחד מהם היה מר נתניהו. ואם נתעלם מתוצאות סקר בשל היותו הערכה ולא עובדה – הרי, כידוע, אלו בחירות שלישיות בתוך תקופה של פחות משנה, והבחירות הקודמות נסובו גם סביב האפשרות שמר נתניהו יכהן כראש ממשלה, כפי שכיהן בפועל אף במהלך התקופה שלפני הבחירות מכוח עיקרון הרציפות. הבחירות הן האירוע המכונן של הפוליטיקה היומיומית. הדמוקרטיה מעלה על נס את השוויון בין כל הבוחרים – קול אחד לכל אחד (ראו בהקשר זה: ע</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א 4071/16</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יוסי בכר – ראש עיריית בת ים נ' אלי יריב</w:t>
      </w:r>
      <w:r>
        <w:rPr>
          <w:rFonts w:ascii="FrankRuehl" w:hAnsi="FrankRuehl" w:cs="FrankRuehl" w:hint="cs"/>
          <w:color w:val="000000"/>
          <w:spacing w:val="10"/>
          <w:sz w:val="28"/>
          <w:szCs w:val="28"/>
          <w:rtl/>
        </w:rPr>
        <w:t>, פ</w:t>
      </w:r>
      <w:r w:rsidRPr="00BF67D5">
        <w:rPr>
          <w:rFonts w:ascii="FrankRuehl" w:hAnsi="FrankRuehl" w:cs="FrankRuehl"/>
          <w:color w:val="000000"/>
          <w:spacing w:val="10"/>
          <w:sz w:val="28"/>
          <w:szCs w:val="28"/>
          <w:rtl/>
        </w:rPr>
        <w:t>ס' 23 לפסק דיני (20.2.2017) (להלן: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עיריית בת ים</w:t>
      </w:r>
      <w:r>
        <w:rPr>
          <w:rFonts w:ascii="FrankRuehl" w:hAnsi="FrankRuehl" w:cs="FrankRuehl" w:hint="cs"/>
          <w:color w:val="000000"/>
          <w:spacing w:val="10"/>
          <w:sz w:val="28"/>
          <w:szCs w:val="28"/>
          <w:rtl/>
        </w:rPr>
        <w:t>)). מ</w:t>
      </w:r>
      <w:r w:rsidRPr="00BF67D5">
        <w:rPr>
          <w:rFonts w:ascii="FrankRuehl" w:hAnsi="FrankRuehl" w:cs="FrankRuehl"/>
          <w:color w:val="000000"/>
          <w:spacing w:val="10"/>
          <w:sz w:val="28"/>
          <w:szCs w:val="28"/>
          <w:rtl/>
        </w:rPr>
        <w:t>שכך, תוצאה שלפיה תישלל ממר נתניהו האפשרות לכהן כראש ממשלה בשלב זה מעוררת קושי עצום ועלולה לפגוע בעקרונות יסודיים בשיטה הדמוקרטית.</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נתייחס לשתי טענות שניתן לטעון נגד השיקול האמור: הראשונה היא כי הוגשו עתירות בעניין זה עוד לפני הבחירות. אכן, הוגשו מספר עתירות קודמות בשנה האחרונה, בעיתויים שונים ביחס למועדי הבחירות לכנסת שנקבעו, אשר נדחו מבלי שייערך דיון לגופן (בג</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ץ 7871/19</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רפול נ׳ ראש ממשלת ישראל</w:t>
      </w:r>
      <w:r>
        <w:rPr>
          <w:rFonts w:ascii="FrankRuehl" w:hAnsi="FrankRuehl" w:cs="FrankRuehl" w:hint="cs"/>
          <w:color w:val="000000"/>
          <w:spacing w:val="10"/>
          <w:sz w:val="28"/>
          <w:szCs w:val="28"/>
          <w:rtl/>
        </w:rPr>
        <w:t xml:space="preserve"> (</w:t>
      </w:r>
      <w:r w:rsidRPr="00BF67D5">
        <w:rPr>
          <w:rFonts w:ascii="FrankRuehl" w:hAnsi="FrankRuehl" w:cs="Times New Roman"/>
          <w:color w:val="000000"/>
          <w:spacing w:val="10"/>
          <w:sz w:val="28"/>
          <w:szCs w:val="28"/>
          <w:rtl/>
          <w:lang w:bidi="ar-SA"/>
        </w:rPr>
        <w:t>12.12.2019</w:t>
      </w:r>
      <w:r>
        <w:rPr>
          <w:rFonts w:ascii="FrankRuehl" w:hAnsi="FrankRuehl" w:cs="FrankRuehl" w:hint="cs"/>
          <w:color w:val="000000"/>
          <w:spacing w:val="10"/>
          <w:sz w:val="28"/>
          <w:szCs w:val="28"/>
          <w:rtl/>
        </w:rPr>
        <w:t>); ב</w:t>
      </w:r>
      <w:r w:rsidRPr="00BF67D5">
        <w:rPr>
          <w:rFonts w:ascii="FrankRuehl" w:hAnsi="FrankRuehl" w:cs="FrankRuehl"/>
          <w:color w:val="000000"/>
          <w:spacing w:val="10"/>
          <w:sz w:val="28"/>
          <w:szCs w:val="28"/>
          <w:rtl/>
        </w:rPr>
        <w:t>ג</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ץ 8145/19</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ברי נ׳ היועץ המשפטי לממשלה</w:t>
      </w:r>
      <w:r w:rsidRPr="00BF67D5">
        <w:rPr>
          <w:rFonts w:ascii="Miriam" w:hAnsi="Miriam" w:cs="Times New Roman"/>
          <w:color w:val="000000"/>
          <w:spacing w:val="10"/>
          <w:sz w:val="24"/>
          <w:rtl/>
          <w:lang w:bidi="ar-SA"/>
        </w:rPr>
        <w:t xml:space="preserve"> </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2.1.2020</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בג</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ץ 1648/20</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התנועה למען איכות השלטון נ׳ היועץ המשפטי לממשלה</w:t>
      </w:r>
      <w:r w:rsidRPr="00BF67D5">
        <w:rPr>
          <w:rFonts w:ascii="FrankRuehl" w:hAnsi="FrankRuehl" w:cs="Times New Roman"/>
          <w:color w:val="000000"/>
          <w:spacing w:val="10"/>
          <w:sz w:val="28"/>
          <w:szCs w:val="28"/>
          <w:rtl/>
          <w:lang w:bidi="ar-SA"/>
        </w:rPr>
        <w:t xml:space="preserve"> </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4.3.2020</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בג</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ץ 1853/20</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התנועה למען איכות השלטון נ׳ היועץ המשפטי לממשלה</w:t>
      </w:r>
      <w:r w:rsidRPr="00BF67D5">
        <w:rPr>
          <w:rFonts w:ascii="FrankRuehl" w:hAnsi="FrankRuehl" w:cs="Times New Roman"/>
          <w:color w:val="000000"/>
          <w:spacing w:val="10"/>
          <w:sz w:val="28"/>
          <w:szCs w:val="28"/>
          <w:rtl/>
          <w:lang w:bidi="ar-SA"/>
        </w:rPr>
        <w:t xml:space="preserve"> </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10.3.2020</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בג</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ץ 2033/20</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ברי נ׳ היועץ המשפטי לממשלה</w:t>
      </w:r>
      <w:r w:rsidRPr="00BF67D5">
        <w:rPr>
          <w:rFonts w:ascii="FrankRuehl" w:hAnsi="FrankRuehl" w:cs="Times New Roman"/>
          <w:color w:val="000000"/>
          <w:spacing w:val="10"/>
          <w:sz w:val="28"/>
          <w:szCs w:val="28"/>
          <w:rtl/>
          <w:lang w:bidi="ar-SA"/>
        </w:rPr>
        <w:t xml:space="preserve"> </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16.3.2020</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 xml:space="preserve"> </w:t>
      </w:r>
      <w:r w:rsidRPr="00BF67D5">
        <w:rPr>
          <w:rFonts w:ascii="FrankRuehl" w:hAnsi="FrankRuehl" w:cs="FrankRuehl"/>
          <w:color w:val="000000"/>
          <w:spacing w:val="10"/>
          <w:sz w:val="28"/>
          <w:szCs w:val="28"/>
          <w:rtl/>
        </w:rPr>
        <w:t>בג</w:t>
      </w:r>
      <w:r>
        <w:rPr>
          <w:rFonts w:ascii="FrankRuehl" w:hAnsi="FrankRuehl" w:cs="FrankRuehl" w:hint="cs"/>
          <w:color w:val="000000"/>
          <w:spacing w:val="10"/>
          <w:sz w:val="28"/>
          <w:szCs w:val="28"/>
          <w:rtl/>
        </w:rPr>
        <w:t>״</w:t>
      </w:r>
      <w:r w:rsidRPr="00BF67D5">
        <w:rPr>
          <w:rFonts w:ascii="FrankRuehl" w:hAnsi="FrankRuehl" w:cs="FrankRuehl"/>
          <w:color w:val="000000"/>
          <w:spacing w:val="10"/>
          <w:sz w:val="28"/>
          <w:szCs w:val="28"/>
          <w:rtl/>
        </w:rPr>
        <w:t>ץ 2487/20</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ברי נ׳ היועץ המשפטי לממשלה</w:t>
      </w:r>
      <w:r w:rsidRPr="00BF67D5">
        <w:rPr>
          <w:rFonts w:ascii="FrankRuehl" w:hAnsi="FrankRuehl" w:cs="Times New Roman"/>
          <w:color w:val="000000"/>
          <w:spacing w:val="10"/>
          <w:sz w:val="28"/>
          <w:szCs w:val="28"/>
          <w:rtl/>
          <w:lang w:bidi="ar-SA"/>
        </w:rPr>
        <w:t xml:space="preserve"> </w:t>
      </w:r>
      <w:r>
        <w:rPr>
          <w:rFonts w:ascii="FrankRuehl" w:hAnsi="FrankRuehl" w:cs="FrankRuehl" w:hint="cs"/>
          <w:color w:val="000000"/>
          <w:spacing w:val="10"/>
          <w:sz w:val="28"/>
          <w:szCs w:val="28"/>
          <w:rtl/>
        </w:rPr>
        <w:t>(</w:t>
      </w:r>
      <w:r w:rsidRPr="00BF67D5">
        <w:rPr>
          <w:rFonts w:ascii="FrankRuehl" w:hAnsi="FrankRuehl" w:cs="Times New Roman"/>
          <w:color w:val="000000"/>
          <w:spacing w:val="10"/>
          <w:sz w:val="28"/>
          <w:szCs w:val="28"/>
          <w:rtl/>
          <w:lang w:bidi="ar-SA"/>
        </w:rPr>
        <w:t>12.4.2020</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על-פי קו זה, ניתן היה להכריע בסוגיה לפני הבחירות כדי שהשאלה לא תתעורר לראשונה אחריהן, ומכאן שיש לתת משקל פחוּת לשיקול בדבר קיומן של בחירות.</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שתי תשובות לכך. ראשית, אין בכך כדי לגרוע מהעובדה כי התקיימו בחירות לכנסת, על כל המשתמע מכך. שנית, בית המשפט דן בעובדות המובאות בפניו. אין הוא קובע את התוכן, את העיתוי ואת הנסיבות של העתירות המונחות בפניו. העתירות הקודמות שעסקו בסוגיית כהונתו של ראש ממשלה שהוגש נגדו כתב אישום נדחו מחמת היותן תיאורטיות ומוקדמות. בזמן שבו העתירות הוגשו, התמונה לא הייתה ברורה דיה והייתה היתכנות למספר לא מועט של תרחישים שונים. בית המשפט דן בחיי המעשה כפי שהם. לכן, לא היה נכון לדון בסוגיות מורכבות אלו טרם עת וטרם התברר מה הן העובדות ומה התרחש בפועל. דווקא בשל רגישות הנושא, אל לבית המשפט להכריע על-סמך הנחות עובדתיות שטרם באו לעולם. כשם שדחיית העתירות הקודמות בשל היותן מוקדמות ותיאורטיות, כמפורט בפסקי הדין השונים, הייתה נכונה לשעתה, כך מתן משקל לבחירות דמוקרטיות הוא נכון לשעה זו. ההבדל הוא כי כעת העתירה נידונה לגופה על-פי מלוא הנסיבות הקיימות. אלה כוללות את הבחירות שאין להתעלם מהן. הכוונה היא לעצם ההליך, על משמעותו ותוצאותיו.</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p>
    <w:p w:rsidR="002A6B50" w:rsidRDefault="002A6B50" w:rsidP="002A6B50">
      <w:pPr>
        <w:overflowPunct/>
        <w:autoSpaceDE/>
        <w:autoSpaceDN/>
        <w:adjustRightInd/>
        <w:spacing w:line="360" w:lineRule="auto"/>
        <w:jc w:val="both"/>
        <w:textAlignment w:val="auto"/>
        <w:rPr>
          <w:rFonts w:ascii="FrankRuehl" w:hAnsi="FrankRuehl" w:cs="FrankRuehl"/>
          <w:color w:val="000000"/>
          <w:spacing w:val="10"/>
          <w:sz w:val="28"/>
          <w:szCs w:val="28"/>
          <w:rtl/>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טענה שנייה שניתן להעלות נגד הנימוק בדבר מתן משקל לקיומן של בחירות ומימוש רצון הבוחרים היא כי בהיעדר בחירות ישירות, אין לומר כי העם בחר במר נתניהו לתפקיד ראש הממשלה. לטעמי, טיעון זה אינו אוחז בעיקר. מדינת ישראל היא מדינה דמוקרטית. הבחירות הן בליבת העניין. במדינות דמוקרטיות ישנן, כידוע, שיטות שונות: בחירת נשיא, ראש ממשלה או רשימת מועמדים, לעתים בדרך ישירה ולעתים על דרך הייצוג. אין מודל אחד ויחיד של דמוקרטיה וחלק מקיומה של דמוקרטיה הוא החופש להגדיר באופן עצמאי את שיטת הבחירו</w:t>
      </w:r>
      <w:r>
        <w:rPr>
          <w:rFonts w:ascii="FrankRuehl" w:hAnsi="FrankRuehl" w:cs="FrankRuehl" w:hint="cs"/>
          <w:color w:val="000000"/>
          <w:spacing w:val="10"/>
          <w:sz w:val="28"/>
          <w:szCs w:val="28"/>
          <w:rtl/>
        </w:rPr>
        <w:t>ת.</w:t>
      </w:r>
    </w:p>
    <w:p w:rsidR="002A6B50" w:rsidRDefault="002A6B50" w:rsidP="002A6B50">
      <w:pPr>
        <w:overflowPunct/>
        <w:autoSpaceDE/>
        <w:autoSpaceDN/>
        <w:adjustRightInd/>
        <w:spacing w:line="360" w:lineRule="auto"/>
        <w:jc w:val="both"/>
        <w:textAlignment w:val="auto"/>
        <w:rPr>
          <w:rFonts w:ascii="FrankRuehl" w:hAnsi="FrankRuehl" w:cs="FrankRuehl"/>
          <w:color w:val="000000"/>
          <w:spacing w:val="10"/>
          <w:sz w:val="28"/>
          <w:szCs w:val="28"/>
          <w:rtl/>
        </w:rPr>
      </w:pPr>
    </w:p>
    <w:p w:rsidR="002A6B50" w:rsidRPr="00BF67D5" w:rsidRDefault="002A6B50" w:rsidP="002A6B50">
      <w:pPr>
        <w:overflowPunct/>
        <w:autoSpaceDE/>
        <w:autoSpaceDN/>
        <w:adjustRightInd/>
        <w:spacing w:line="360" w:lineRule="auto"/>
        <w:ind w:firstLine="720"/>
        <w:jc w:val="both"/>
        <w:textAlignment w:val="auto"/>
        <w:rPr>
          <w:rFonts w:ascii="FrankRuehl" w:hAnsi="FrankRuehl" w:cs="FrankRuehl"/>
          <w:color w:val="000000"/>
          <w:spacing w:val="10"/>
          <w:sz w:val="28"/>
          <w:szCs w:val="28"/>
          <w:rtl/>
        </w:rPr>
      </w:pPr>
      <w:r w:rsidRPr="00BF67D5">
        <w:rPr>
          <w:rFonts w:ascii="FrankRuehl" w:hAnsi="FrankRuehl" w:cs="FrankRuehl"/>
          <w:color w:val="000000"/>
          <w:spacing w:val="10"/>
          <w:sz w:val="28"/>
          <w:szCs w:val="28"/>
          <w:rtl/>
        </w:rPr>
        <w:t>העיקרון הדמוקרטי המרכזי שעליו מבוססת שיטת המשטר בישראל הוא דמוקרטיה ייצוגית שנציגיה הנבחרים מקבלים החלטות בשם ציבור בוחריהם לפי הכרעת הרוב. התערבות בהחלטה כזו כרוכה אפוא בהכרח בפגיעה ברצון הבוחרים. במקרה זה הפגיעה ברצון הבוחרים היא ישירה וקשה, משום שההחלטה שבמוקד הדיון היא החלטה על מי שירכיב את הממשלה ויעמוד בראשה. ההחלטה חשובה בשל יכולתה להגדיר את המצב הפוליטי בממשלה ולהשפיע גם על משרדיה. אכן במדינת ישראל אין בחירות ישירות לראשות הממשלה, וההצבעה היא לרשימת מועמדים, אולם הבוחר ברשימה מקנה לה את המנדט לתרגם את רצונו לכדי החלטות פוליטיות, שבראשן הרכבת ממשלה (ראו בעניין זה: עניין</w:t>
      </w:r>
      <w:r w:rsidRPr="00BF67D5">
        <w:rPr>
          <w:rFonts w:ascii="FrankRuehl" w:hAnsi="FrankRuehl" w:cs="Times New Roman"/>
          <w:color w:val="000000"/>
          <w:spacing w:val="10"/>
          <w:sz w:val="28"/>
          <w:szCs w:val="28"/>
          <w:rtl/>
          <w:lang w:bidi="ar-SA"/>
        </w:rPr>
        <w:t xml:space="preserve"> </w:t>
      </w:r>
      <w:r w:rsidRPr="00BF67D5">
        <w:rPr>
          <w:rFonts w:ascii="Miriam" w:hAnsi="Miriam" w:cs="Miriam"/>
          <w:color w:val="000000"/>
          <w:sz w:val="24"/>
          <w:rtl/>
        </w:rPr>
        <w:t>יושב ראש הכנסת</w:t>
      </w:r>
      <w:r>
        <w:rPr>
          <w:rFonts w:ascii="FrankRuehl" w:hAnsi="FrankRuehl" w:cs="FrankRuehl" w:hint="cs"/>
          <w:color w:val="000000"/>
          <w:spacing w:val="10"/>
          <w:sz w:val="28"/>
          <w:szCs w:val="28"/>
          <w:rtl/>
        </w:rPr>
        <w:t>, פ</w:t>
      </w:r>
      <w:r w:rsidRPr="00BF67D5">
        <w:rPr>
          <w:rFonts w:ascii="FrankRuehl" w:hAnsi="FrankRuehl" w:cs="FrankRuehl"/>
          <w:color w:val="000000"/>
          <w:spacing w:val="10"/>
          <w:sz w:val="28"/>
          <w:szCs w:val="28"/>
          <w:rtl/>
        </w:rPr>
        <w:t>ס' 9 לפסק דינה של הנשיאה</w:t>
      </w:r>
      <w:r w:rsidRPr="00BF67D5">
        <w:rPr>
          <w:rFonts w:ascii="Miriam" w:hAnsi="Miriam" w:cs="Times New Roman"/>
          <w:color w:val="000000"/>
          <w:spacing w:val="10"/>
          <w:sz w:val="24"/>
          <w:rtl/>
          <w:lang w:bidi="ar-SA"/>
        </w:rPr>
        <w:t xml:space="preserve"> </w:t>
      </w:r>
      <w:r w:rsidRPr="00BF67D5">
        <w:rPr>
          <w:rFonts w:ascii="Miriam" w:hAnsi="Miriam" w:cs="Miriam"/>
          <w:color w:val="000000"/>
          <w:sz w:val="24"/>
          <w:rtl/>
        </w:rPr>
        <w:t>א' חיות</w:t>
      </w:r>
      <w:r>
        <w:rPr>
          <w:rFonts w:ascii="FrankRuehl" w:hAnsi="FrankRuehl" w:cs="FrankRuehl" w:hint="cs"/>
          <w:color w:val="000000"/>
          <w:spacing w:val="10"/>
          <w:sz w:val="28"/>
          <w:szCs w:val="28"/>
          <w:rtl/>
        </w:rPr>
        <w:t>).</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בעדשה של ריאליזם פוליטי, לא ניתן לומר כי השאלה מי יהיה ראש הממשלה לאחר הבחירות נעלמה מעינו של הבוחר. נהפוך הוא: שאלה זו עמדה במרכז. די להזכיר כי אפילו מפלגות שלא הציגו את עצמן כבעלות יכולת להציג מועמד לראשות הממשלה מבין חבריהן, הביעו עמדה לכאן או לכאן ביחס לשאלה זו. אמנם, ככלל, המשא-ומתן הקואליציוני משקף מציאות עצמאית לאחר תוצאות הבחירות והוא אף עשוי להוביל לתוצאות בלתי צפויות. אולם זהו חלק מהשיטה הדמוקרטית של מדינתנו. הבוחר מצביע עבור רשימת מועמדים וחברי הכנסת שנבחרו מרכיבים את הממשלה. יש לקבל ולכבד שיטה זו. זאת, גם אם בוחר מסוים – או אפילו מפלגה מסוימת – היו מעדיפים תוצאה אחרת. ההכרעה בדבר זהות המועמד להרכבת הממשלה מוּנעת משיקולים פוליטיים מובהקים ובית המשפט אינו מביע עמדה לגביהם. הרי אין זה חידוש כי</w:t>
      </w:r>
      <w:r>
        <w:rPr>
          <w:rFonts w:ascii="FrankRuehl" w:hAnsi="FrankRuehl" w:cs="FrankRuehl" w:hint="cs"/>
          <w:color w:val="000000"/>
          <w:spacing w:val="10"/>
          <w:sz w:val="28"/>
          <w:szCs w:val="28"/>
          <w:rtl/>
        </w:rPr>
        <w:t xml:space="preserve"> ״</w:t>
      </w:r>
      <w:r w:rsidRPr="00BF67D5">
        <w:rPr>
          <w:rFonts w:ascii="FrankRuehl" w:hAnsi="FrankRuehl" w:cs="FrankRuehl"/>
          <w:color w:val="000000"/>
          <w:spacing w:val="10"/>
          <w:sz w:val="28"/>
          <w:szCs w:val="28"/>
          <w:rtl/>
        </w:rPr>
        <w:t>הפוליטיקה היא האמנות של האפשרי</w:t>
      </w:r>
      <w:r>
        <w:rPr>
          <w:rFonts w:ascii="FrankRuehl" w:hAnsi="FrankRuehl" w:cs="FrankRuehl" w:hint="cs"/>
          <w:color w:val="000000"/>
          <w:spacing w:val="10"/>
          <w:sz w:val="28"/>
          <w:szCs w:val="28"/>
          <w:rtl/>
        </w:rPr>
        <w:t>״ (</w:t>
      </w:r>
      <w:r>
        <w:rPr>
          <w:rFonts w:ascii="Arial" w:hAnsi="Arial" w:cs="Arial"/>
          <w:color w:val="000000"/>
          <w:spacing w:val="10"/>
          <w:sz w:val="22"/>
          <w:szCs w:val="22"/>
          <w:lang w:bidi="ar-SA"/>
        </w:rPr>
        <w:t>“P</w:t>
      </w:r>
      <w:r w:rsidRPr="00BF67D5">
        <w:rPr>
          <w:rFonts w:ascii="Arial" w:hAnsi="Arial" w:cs="Arial"/>
          <w:color w:val="000000"/>
          <w:spacing w:val="10"/>
          <w:sz w:val="22"/>
          <w:szCs w:val="22"/>
          <w:lang w:bidi="ar-SA"/>
        </w:rPr>
        <w:t>olitics is the art of the possible</w:t>
      </w:r>
      <w:r>
        <w:rPr>
          <w:rFonts w:ascii="Arial" w:hAnsi="Arial" w:cs="Arial"/>
          <w:color w:val="000000"/>
          <w:spacing w:val="10"/>
          <w:sz w:val="22"/>
          <w:szCs w:val="22"/>
          <w:lang w:bidi="ar-SA"/>
        </w:rPr>
        <w:t>”</w:t>
      </w:r>
      <w:r>
        <w:rPr>
          <w:rFonts w:ascii="FrankRuehl" w:hAnsi="FrankRuehl" w:cs="FrankRuehl" w:hint="cs"/>
          <w:color w:val="000000"/>
          <w:spacing w:val="10"/>
          <w:sz w:val="28"/>
          <w:szCs w:val="28"/>
          <w:rtl/>
        </w:rPr>
        <w:t>). ב</w:t>
      </w:r>
      <w:r w:rsidRPr="00BF67D5">
        <w:rPr>
          <w:rFonts w:ascii="FrankRuehl" w:hAnsi="FrankRuehl" w:cs="FrankRuehl"/>
          <w:color w:val="000000"/>
          <w:spacing w:val="10"/>
          <w:sz w:val="28"/>
          <w:szCs w:val="28"/>
          <w:rtl/>
        </w:rPr>
        <w:t>שורה התחתונה, קשה עד מאוד התוצאה המונעת מחבר כנסת את האפשרות להרכיב ממשלה, חרף הכרעת רוב חברי הכנסת להעניק לו תפקיד זה, על סמך נתון שהיה קיים ערב הבחירות. בהליך הבחירות אזרחי המדינה קיבלו הזדמנות לממש את זכותם לבחור ומיליוני אנשים עמדו מאחורי פרגוד הקלפי אחד אחד עם עצמו ועם בחירתו.</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 </w:t>
      </w:r>
    </w:p>
    <w:p w:rsidR="002A6B50" w:rsidRPr="00BF67D5" w:rsidRDefault="002A6B50" w:rsidP="002A6B50">
      <w:pPr>
        <w:overflowPunct/>
        <w:autoSpaceDE/>
        <w:autoSpaceDN/>
        <w:adjustRightInd/>
        <w:spacing w:line="360" w:lineRule="auto"/>
        <w:jc w:val="both"/>
        <w:textAlignment w:val="auto"/>
        <w:rPr>
          <w:rFonts w:cs="Times New Roman"/>
          <w:spacing w:val="10"/>
          <w:sz w:val="24"/>
          <w:rtl/>
          <w:lang w:bidi="ar-SA"/>
        </w:rPr>
      </w:pPr>
      <w:r w:rsidRPr="00BF67D5">
        <w:rPr>
          <w:rFonts w:ascii="FrankRuehl" w:hAnsi="FrankRuehl" w:cs="Times New Roman"/>
          <w:color w:val="000000"/>
          <w:spacing w:val="10"/>
          <w:sz w:val="28"/>
          <w:szCs w:val="28"/>
          <w:rtl/>
          <w:lang w:bidi="ar-SA"/>
        </w:rPr>
        <w:tab/>
      </w:r>
      <w:r w:rsidRPr="00BF67D5">
        <w:rPr>
          <w:rFonts w:ascii="FrankRuehl" w:hAnsi="FrankRuehl" w:cs="FrankRuehl"/>
          <w:color w:val="000000"/>
          <w:spacing w:val="10"/>
          <w:sz w:val="28"/>
          <w:szCs w:val="28"/>
          <w:rtl/>
        </w:rPr>
        <w:t>אגב נסיבות חריגות של המקרה, נזכיר שתיים נוספות. הראשונה היא המשבר המשטרי-פוליטי יוצא הדופן והתקדימי שמדינת ישראל מצויה בו: לאחר שלוש מערכות בחירות, לא עלה בידי נבחרי הציבור להקים ממשלה קבועה, כך שהממשלה הנוכחית מכהנת כממשלת מעבר מכוח עיקרון הרציפות מזה מעל לשנה שלמה. מעבר לכך, החלטת רוב חברי הכנסת בדבר הטלת תפקיד הרכבת הממשלה היא הישורת האחרונה במנגנון הבחירות, ורק היא עומדת בין כינון ממשלה לבין עריכת בחירות רביעיות. הנסיבה החריגה השנייה היא מגפת הקורונה. מוקדם לסכם את טיב המגפה ותוצאותיה אך נראה כי היא אינה כמגפות אחרות. ידיה הארוכות הגיעו לכל פינה בעולם, תוך יצירת הרס רבתי לבריאות הציבור ולכלכלה. כך, מבלי להפלות בין מדינה למדינה ובין מקום למקום, וכך במדינת ישראל. נדרשים הכרעות וניהול מדיניות במישורים רבים כדי להתמודד עם המגפה.</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overflowPunct/>
        <w:autoSpaceDE/>
        <w:autoSpaceDN/>
        <w:adjustRightInd/>
        <w:spacing w:line="360" w:lineRule="auto"/>
        <w:ind w:firstLine="720"/>
        <w:jc w:val="both"/>
        <w:textAlignment w:val="auto"/>
        <w:rPr>
          <w:rFonts w:cs="Times New Roman"/>
          <w:spacing w:val="10"/>
          <w:sz w:val="24"/>
          <w:lang w:bidi="ar-SA"/>
        </w:rPr>
      </w:pPr>
      <w:r w:rsidRPr="00BF67D5">
        <w:rPr>
          <w:rFonts w:ascii="FrankRuehl" w:hAnsi="FrankRuehl" w:cs="FrankRuehl"/>
          <w:color w:val="000000"/>
          <w:spacing w:val="10"/>
          <w:sz w:val="28"/>
          <w:szCs w:val="28"/>
          <w:rtl/>
        </w:rPr>
        <w:t xml:space="preserve">נסיבות אלו הובאו כדי להדגיש שוב את חשיבותם של שיקולים פרלמנטריים ופוליטיים מובהקים בגדר ההחלטה המוטלת על הכנסת, ומדוע לא ראוי כי בית המשפט יתערב או יביע עמדתו בנושאים אלו. שונים הדברים ביחס לקיומן של בחירות כאירוע שמצדיק בפני עצמו היעדר התערבות מהנימוקים שפורטו. על בית המשפט להעניק לשיקול זה את המקום הראוי בניתוח המשפטי. הבחירות התקיימו והכנסת פעלה במסגרתן כדי לבחור מועמד להרכבת הממשלה מבין חברי הכנסת שנבחרו בבחירות כאשר ידוע היה שנגד חבר הכנסת נתניהו הוגש כתב אישום ומה תוכנו. התערבות בשלב זה מהווה התערבות ישירה הפוגעת בתוצאות ההליך הדמוקרטי וזאת כאשר מוסכם כי אין איסור מפורש בדין המונע מחבר הכנסת נתניהו למלא את תפקיד ראש הממשלה. ויוזכר כי היקף שיקול הדעת של </w:t>
      </w:r>
      <w:r>
        <w:rPr>
          <w:rFonts w:ascii="FrankRuehl" w:hAnsi="FrankRuehl" w:cs="FrankRuehl" w:hint="cs"/>
          <w:color w:val="000000"/>
          <w:spacing w:val="10"/>
          <w:sz w:val="28"/>
          <w:szCs w:val="28"/>
          <w:rtl/>
        </w:rPr>
        <w:t xml:space="preserve">הכנסת </w:t>
      </w:r>
      <w:r w:rsidRPr="00BF67D5">
        <w:rPr>
          <w:rFonts w:ascii="FrankRuehl" w:hAnsi="FrankRuehl" w:cs="FrankRuehl"/>
          <w:color w:val="000000"/>
          <w:spacing w:val="10"/>
          <w:sz w:val="28"/>
          <w:szCs w:val="28"/>
          <w:rtl/>
        </w:rPr>
        <w:t>הוא רחב, והוא עומד ביחס הפוך לשיקול הדעת של בית משפט זה. לא בביקורת מנהלית עסקינן. המדובר בביקורת פרלמנטרית על החלטה פוליטית מובהקת. משכך, שקלול הנסיבות מלמד כי לא מונח לפנינו מקרה הנכנס בפתח ההתערבות הצר ומצדיק התערבותו של בית משפט זה.</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pStyle w:val="Ruller4"/>
        <w:numPr>
          <w:ilvl w:val="0"/>
          <w:numId w:val="1"/>
        </w:numPr>
        <w:tabs>
          <w:tab w:val="num" w:pos="907"/>
        </w:tabs>
        <w:ind w:left="0"/>
        <w:rPr>
          <w:rFonts w:cs="Times New Roman"/>
          <w:lang w:bidi="ar-SA"/>
        </w:rPr>
      </w:pPr>
      <w:r w:rsidRPr="00BF67D5">
        <w:rPr>
          <w:rFonts w:ascii="FrankRuehl" w:hAnsi="FrankRuehl"/>
          <w:color w:val="000000"/>
          <w:sz w:val="28"/>
          <w:rtl/>
        </w:rPr>
        <w:t>לסיכום דעתי בסוגיה של מניעת האפשרות של הכנסת להטיל את תפקיד הרכבת הממשלה על חבר כנסת שהוגש נגדו כתב אישום בעבירות של שוחד ושל מרמה והפרת אמונים, הייתי מדגיש שלוש נקודות: הראשונה היא היעדר הוראה מפורשת בדין – אף בדרך של אמת מידה – האוסרת על המצב האמור. לצד זאת, מהנימוקים שפורטו אין לשלול את הכלל של כשירות לחוד ושיקול דעת לחוד ביחס להחלטה הנידונה. הנקודה השנייה היא שפתח ההתערבות הוא צר-שבצרים. כך, לנוכח מסגרת ההחלטה – רוב חברי כנסת שפועלים על-פי דין ומבקשים לתרגם את תוצאות הבחירות לכדי הרכבת ממשלה. זאת, בהמשך להודעה של נשיא המדינה ליושב ראש הכנסת כי אינו רואה אפשרות להרכבת הממשלה, כחלק מהשלב השני שלאחר הבחירות לכנסת (סעיף 10(א) לחוק). הנקודה השלישית היא קיומן של בחירות שבהן מר נתניהו היה מועמד לכהן כחבר כנסת בעוד שעובדת כתב האישום שהוגש נגדו, וכן תוכנו, פורסמו והיו ידועים. המכנה המשותף לשלוש נקודות אלו הוא קול הבוחר הבודד בבחירות תוך מימוש זכותו לבחור. המעניין הוא כי הבוחר וקהילת הבוחרים אינם צד להליך המשפטי אך מעמדם והשפעתם על התוצאה רבה ביותר. התערבות בשלב זה טומנת בחובה סוג של ביטול הבחירות – אף אם אין זו הכוונה. זהו גבול שבית המשפט חייב להיות זהיר מאוד שלא לחצות אותו שעה שהוראות הדין אינן מחייבות זאת. בל נשכח כי שיטת הבחירות – קול אחד לכל אחד – מבטאת בצורה הטובה ביותר את עיקרון השוויון בין כל אזרחי המדינה (עניין</w:t>
      </w:r>
      <w:r w:rsidRPr="00BF67D5">
        <w:rPr>
          <w:rFonts w:ascii="FrankRuehl" w:hAnsi="FrankRuehl" w:cs="Times New Roman"/>
          <w:color w:val="000000"/>
          <w:sz w:val="28"/>
          <w:rtl/>
          <w:lang w:bidi="ar-SA"/>
        </w:rPr>
        <w:t xml:space="preserve"> </w:t>
      </w:r>
      <w:r w:rsidRPr="00BF67D5">
        <w:rPr>
          <w:rFonts w:ascii="Miriam" w:hAnsi="Miriam" w:cs="Miriam"/>
          <w:color w:val="000000"/>
          <w:rtl/>
        </w:rPr>
        <w:t>בת ים</w:t>
      </w:r>
      <w:r>
        <w:rPr>
          <w:rFonts w:ascii="FrankRuehl" w:hAnsi="FrankRuehl" w:hint="cs"/>
          <w:color w:val="000000"/>
          <w:sz w:val="28"/>
          <w:rtl/>
        </w:rPr>
        <w:t>, פ</w:t>
      </w:r>
      <w:r w:rsidRPr="00BF67D5">
        <w:rPr>
          <w:rFonts w:ascii="FrankRuehl" w:hAnsi="FrankRuehl"/>
          <w:color w:val="000000"/>
          <w:sz w:val="28"/>
          <w:rtl/>
        </w:rPr>
        <w:t>ס׳ 23 לפסק דיני). על בית המשפט להכיר באוטונומיה של הבוחר (שם, פס׳ 52). מתן ביטוי לקול הבוחר ורצון הבוחרים, וצמצום עד-מאוד של התערבות בית המשפט בהחלטות הכנסת הנובע מכך, משקפים אפוא את ליבת ההליך הדמוקרטי.</w:t>
      </w:r>
    </w:p>
    <w:p w:rsidR="002A6B50" w:rsidRPr="00BF67D5" w:rsidRDefault="002A6B50" w:rsidP="002A6B50">
      <w:pPr>
        <w:overflowPunct/>
        <w:autoSpaceDE/>
        <w:autoSpaceDN/>
        <w:bidi w:val="0"/>
        <w:adjustRightInd/>
        <w:spacing w:line="360" w:lineRule="auto"/>
        <w:textAlignment w:val="auto"/>
        <w:rPr>
          <w:rFonts w:cs="Times New Roman"/>
          <w:spacing w:val="10"/>
          <w:sz w:val="24"/>
          <w:rtl/>
          <w:lang w:bidi="ar-SA"/>
        </w:rPr>
      </w:pPr>
    </w:p>
    <w:p w:rsidR="002A6B50" w:rsidRPr="00BF67D5" w:rsidRDefault="002A6B50" w:rsidP="002A6B50">
      <w:pPr>
        <w:pStyle w:val="Ruller4"/>
        <w:numPr>
          <w:ilvl w:val="0"/>
          <w:numId w:val="1"/>
        </w:numPr>
        <w:tabs>
          <w:tab w:val="num" w:pos="907"/>
        </w:tabs>
        <w:ind w:left="0"/>
        <w:rPr>
          <w:rFonts w:cs="Times New Roman"/>
          <w:lang w:bidi="ar-SA"/>
        </w:rPr>
      </w:pPr>
      <w:r w:rsidRPr="00BF67D5">
        <w:rPr>
          <w:rFonts w:ascii="FrankRuehl" w:hAnsi="FrankRuehl"/>
          <w:color w:val="000000"/>
          <w:sz w:val="28"/>
          <w:rtl/>
        </w:rPr>
        <w:t>סוף דבר: אלו הדגשים שלי ונימוקיי הנוספים. אני מצטרף כאמור לפסק דינה של חברתי הנשיאה.</w:t>
      </w:r>
    </w:p>
    <w:p w:rsidR="00E90B83" w:rsidRPr="002A6B50" w:rsidRDefault="00E90B83" w:rsidP="00A51FAE">
      <w:pPr>
        <w:pStyle w:val="Ruller40"/>
        <w:rPr>
          <w:rtl/>
        </w:rPr>
      </w:pPr>
    </w:p>
    <w:tbl>
      <w:tblPr>
        <w:bidiVisual/>
        <w:tblW w:w="8363" w:type="dxa"/>
        <w:tblLook w:val="01E0" w:firstRow="1" w:lastRow="1" w:firstColumn="1" w:lastColumn="1" w:noHBand="0" w:noVBand="0"/>
      </w:tblPr>
      <w:tblGrid>
        <w:gridCol w:w="2786"/>
        <w:gridCol w:w="2787"/>
        <w:gridCol w:w="2790"/>
      </w:tblGrid>
      <w:tr w:rsidR="008C6885" w:rsidRPr="000A1340" w:rsidTr="002A6B50">
        <w:tc>
          <w:tcPr>
            <w:tcW w:w="2786" w:type="dxa"/>
            <w:hideMark/>
          </w:tcPr>
          <w:p w:rsidR="008C6885" w:rsidRPr="000A1340" w:rsidRDefault="008C6885" w:rsidP="008835E9">
            <w:pPr>
              <w:pStyle w:val="Ruller40"/>
            </w:pPr>
          </w:p>
        </w:tc>
        <w:tc>
          <w:tcPr>
            <w:tcW w:w="2787" w:type="dxa"/>
            <w:hideMark/>
          </w:tcPr>
          <w:p w:rsidR="008C6885" w:rsidRPr="000A1340" w:rsidRDefault="008C6885" w:rsidP="008835E9">
            <w:pPr>
              <w:pStyle w:val="Ruller40"/>
              <w:jc w:val="center"/>
              <w:rPr>
                <w:rtl/>
              </w:rPr>
            </w:pPr>
          </w:p>
        </w:tc>
        <w:tc>
          <w:tcPr>
            <w:tcW w:w="2790" w:type="dxa"/>
            <w:hideMark/>
          </w:tcPr>
          <w:p w:rsidR="008C6885" w:rsidRPr="000A1340" w:rsidRDefault="008C6885" w:rsidP="008835E9">
            <w:pPr>
              <w:pStyle w:val="Ruller40"/>
              <w:jc w:val="center"/>
              <w:rPr>
                <w:rtl/>
              </w:rPr>
            </w:pPr>
            <w:r w:rsidRPr="000A1340">
              <w:rPr>
                <w:rtl/>
              </w:rPr>
              <w:t xml:space="preserve">ש ו פ ט </w:t>
            </w:r>
          </w:p>
        </w:tc>
      </w:tr>
    </w:tbl>
    <w:p w:rsidR="008C6885" w:rsidRDefault="008C6885" w:rsidP="00A51FAE">
      <w:pPr>
        <w:pStyle w:val="Ruller40"/>
        <w:rPr>
          <w:rtl/>
        </w:rPr>
      </w:pPr>
    </w:p>
    <w:p w:rsidR="00B12262" w:rsidRDefault="00B12262" w:rsidP="00B12262">
      <w:pPr>
        <w:pStyle w:val="BODYVERDICT"/>
        <w:rPr>
          <w:rFonts w:cs="Miriam"/>
          <w:sz w:val="24"/>
          <w:szCs w:val="24"/>
          <w:u w:val="single"/>
          <w:rtl/>
        </w:rPr>
      </w:pPr>
      <w:r>
        <w:rPr>
          <w:rFonts w:cs="Miriam"/>
          <w:sz w:val="24"/>
          <w:szCs w:val="24"/>
          <w:u w:val="single"/>
          <w:rtl/>
        </w:rPr>
        <w:t>השופטת ד' ברק-ארז:</w:t>
      </w:r>
    </w:p>
    <w:p w:rsidR="00B12262" w:rsidRDefault="00B12262" w:rsidP="00B12262">
      <w:pPr>
        <w:pStyle w:val="BODYVERDICT"/>
        <w:rPr>
          <w:rFonts w:cs="Miriam"/>
          <w:sz w:val="24"/>
          <w:szCs w:val="24"/>
          <w:u w:val="single"/>
          <w:rtl/>
        </w:rPr>
      </w:pPr>
    </w:p>
    <w:p w:rsidR="00B12262" w:rsidRDefault="00B12262" w:rsidP="00B12262">
      <w:pPr>
        <w:spacing w:line="360" w:lineRule="auto"/>
        <w:jc w:val="center"/>
        <w:rPr>
          <w:rFonts w:ascii="Century" w:hAnsi="Century" w:cs="Miriam"/>
          <w:b/>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1. </w:t>
      </w:r>
      <w:r>
        <w:rPr>
          <w:rFonts w:ascii="Century" w:hAnsi="Century" w:cs="FrankRuehl"/>
          <w:spacing w:val="10"/>
          <w:szCs w:val="28"/>
          <w:rtl/>
        </w:rPr>
        <w:tab/>
        <w:t xml:space="preserve">האם אין פסול בכך שחבר כנסת המועמד לתפקיד ראש הממשלה יהיה מי שהוגש נגדו כתב אישום חמור? העתירות שהוגשו בעניין זה נדחו. אכן, זוהי "השורה התחתונה" של פסק דיננו. אולם, לא רק היא חשובה. דחיית העתירות משקפת את התפקיד המצומצם של הביקורת השיפוטית על החלטות שמקבל הרוב הפרלמנטרי לצורך הקמת ממשלה. היא מבטאת את התפיסה כי לא כל נורמה ניתנת לאכיפה שיפוטית. אין בה משום "הכשר" נורמטיבי וערכי לתוכנן של החלטות שעליהן נסבה העתירה. </w:t>
      </w:r>
      <w:r>
        <w:rPr>
          <w:rFonts w:ascii="Century" w:hAnsi="Century" w:cs="FrankRuehl"/>
          <w:spacing w:val="10"/>
          <w:szCs w:val="28"/>
          <w:rtl/>
        </w:rPr>
        <w:tab/>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2.</w:t>
      </w:r>
      <w:r>
        <w:rPr>
          <w:rFonts w:ascii="Century" w:hAnsi="Century" w:cs="FrankRuehl"/>
          <w:spacing w:val="10"/>
          <w:szCs w:val="28"/>
          <w:rtl/>
        </w:rPr>
        <w:tab/>
        <w:t xml:space="preserve">ככל חבריי אני מסכימה לעיקרי פסק דינה של חברתי הנשיאה </w:t>
      </w:r>
      <w:r>
        <w:rPr>
          <w:rFonts w:ascii="Century" w:hAnsi="Century" w:cs="Miriam"/>
          <w:b/>
          <w:rtl/>
        </w:rPr>
        <w:t>א' חיות</w:t>
      </w:r>
      <w:r>
        <w:rPr>
          <w:rFonts w:ascii="Century" w:hAnsi="Century" w:cs="FrankRuehl"/>
          <w:spacing w:val="10"/>
          <w:szCs w:val="28"/>
          <w:rtl/>
        </w:rPr>
        <w:t xml:space="preserve">. כמו כן, אני מצטרפת בהסכמה גם להערותיהם של חבריי השופט </w:t>
      </w:r>
      <w:r>
        <w:rPr>
          <w:rFonts w:ascii="Century" w:hAnsi="Century" w:cs="Miriam"/>
          <w:b/>
          <w:rtl/>
        </w:rPr>
        <w:t>י' עמית</w:t>
      </w:r>
      <w:r>
        <w:rPr>
          <w:rFonts w:ascii="Century" w:hAnsi="Century" w:cs="FrankRuehl"/>
          <w:spacing w:val="10"/>
          <w:szCs w:val="28"/>
          <w:rtl/>
        </w:rPr>
        <w:t xml:space="preserve"> והשופט </w:t>
      </w:r>
      <w:r>
        <w:rPr>
          <w:rFonts w:ascii="Century" w:hAnsi="Century" w:cs="Miriam"/>
          <w:b/>
          <w:rtl/>
        </w:rPr>
        <w:t>ע' פוגלמן</w:t>
      </w:r>
      <w:r>
        <w:rPr>
          <w:rFonts w:ascii="Century" w:hAnsi="Century" w:cs="FrankRuehl"/>
          <w:spacing w:val="10"/>
          <w:szCs w:val="28"/>
          <w:rtl/>
        </w:rPr>
        <w:t xml:space="preserve">. עם זאת, אני מבקשת להוסיף דגשים הנראים לי חשובים, מתוך הכרה בחשיבות ההנמקה. ההנמקה השיפוטית היא תמיד חשובה עבור המתדיינים. אולם, היא גם חלק מן הדיאלוג החוקתי בין רשויות השלטון, וכמובן מקבלת משנה חשיבות כאשר הדיון שזור עד בלי הפרד בשאלות ערכיות המצויות במחלוקת בזירה הציבורית בישראל. </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Miriam"/>
          <w:b/>
          <w:rtl/>
        </w:rPr>
      </w:pPr>
      <w:r>
        <w:rPr>
          <w:rFonts w:ascii="Century" w:hAnsi="Century" w:cs="Miriam"/>
          <w:b/>
          <w:rtl/>
        </w:rPr>
        <w:t>ההגנה על חזקת החפות – לא זו השאלה</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3. </w:t>
      </w:r>
      <w:r>
        <w:rPr>
          <w:rFonts w:ascii="Century" w:hAnsi="Century" w:cs="FrankRuehl"/>
          <w:spacing w:val="10"/>
          <w:szCs w:val="28"/>
          <w:rtl/>
        </w:rPr>
        <w:tab/>
        <w:t xml:space="preserve">אפתח במה שאמור להיות מובן מאליו: תפקידי מנהיגות, ולא כל שכן תפקיד ההנהגה שאין למעלה הימנו במדינה, מחייבים עמידה בדרישות גבוהות של דוגמה אישית וטוהר מידות. הגשת כתב אישום שבמרכזו עבירות על טוהר המידות מטילה, מעצם טיבה, צל. זאת, בשים לב לתנאים החלים בשיטתנו המשפטית על הגשת כתב אישום – דהיינו, ביודענו כי היועץ המשפטי לממשלה קבע כי על סמך חומר הראיות שבתיק קיים סיכוי סביר להרשעה. אכן, בין סיכוי סביר להרשעה לבין הרשעה רבה הדרך. לנאשם עומדת חזקת החפות, חזקה שהיא אחד מעקרונות היסוד של שיטתנו המשפטית. אולם, כפי שהסביר חברי השופט </w:t>
      </w:r>
      <w:r>
        <w:rPr>
          <w:rFonts w:ascii="Century" w:hAnsi="Century" w:cs="Miriam"/>
          <w:b/>
          <w:rtl/>
        </w:rPr>
        <w:t>עמית</w:t>
      </w:r>
      <w:r>
        <w:rPr>
          <w:rFonts w:ascii="Century" w:hAnsi="Century" w:cs="FrankRuehl"/>
          <w:spacing w:val="10"/>
          <w:szCs w:val="28"/>
          <w:rtl/>
        </w:rPr>
        <w:t>, חזקה זו מקומה בהליך הפלילי. לעומת זאת, במישור של המשפט הציבורי השלכותיו של כתב אישום בעינן עומדות, ואף נלווה לו צל המעיב על מילוי הכהונה הציבורית. אין לכחד: קיים קושי בכהונה בתפקיד ציבורי של מי שקיימות ראיות מינהליות ביחס לדופי שדבק, לכאורה, בהתנהגותו. מטעמים אלה, כבר לפני שנים רבות קבע בית משפט זה כי ראש הממשלה חייב לפטר מי שהוגש נגדו כתב אישום חמור מכהונה כשר או כסגן שר בשני פסקי שניתנו בבג"ץ 3094/93</w:t>
      </w:r>
      <w:r>
        <w:rPr>
          <w:rFonts w:ascii="Arimo" w:hAnsi="Arimo" w:cs="FrankRuehl"/>
          <w:color w:val="333333"/>
          <w:sz w:val="28"/>
          <w:szCs w:val="28"/>
          <w:rtl/>
        </w:rPr>
        <w:t xml:space="preserve"> </w:t>
      </w:r>
      <w:r>
        <w:rPr>
          <w:rFonts w:ascii="Century" w:hAnsi="Century" w:cs="Miriam"/>
          <w:b/>
          <w:rtl/>
        </w:rPr>
        <w:t>התנועה למען איכות השלטון בישראל נ' ממשלת ישראל</w:t>
      </w:r>
      <w:r>
        <w:rPr>
          <w:rFonts w:ascii="Century" w:hAnsi="Century" w:cs="FrankRuehl"/>
          <w:spacing w:val="10"/>
          <w:szCs w:val="28"/>
          <w:rtl/>
        </w:rPr>
        <w:t>, פ"ד מז(5) 404 (1993) ובבג"ץ 4287/93</w:t>
      </w:r>
      <w:r>
        <w:rPr>
          <w:rFonts w:ascii="Arimo" w:hAnsi="Arimo" w:cs="FrankRuehl"/>
          <w:color w:val="333333"/>
          <w:sz w:val="28"/>
          <w:szCs w:val="28"/>
          <w:rtl/>
        </w:rPr>
        <w:t xml:space="preserve"> </w:t>
      </w:r>
      <w:r>
        <w:rPr>
          <w:rFonts w:ascii="Century" w:hAnsi="Century" w:cs="Miriam"/>
          <w:b/>
          <w:rtl/>
        </w:rPr>
        <w:t>אמיתי - אזרחים למען מינהל תקין וטוהר המידות נ' יצחק רבין, ראש ממשלת ישראל</w:t>
      </w:r>
      <w:r>
        <w:rPr>
          <w:rFonts w:ascii="Arimo" w:hAnsi="Arimo" w:cs="FrankRuehl"/>
          <w:color w:val="333333"/>
          <w:sz w:val="28"/>
          <w:szCs w:val="28"/>
          <w:rtl/>
        </w:rPr>
        <w:t xml:space="preserve">, </w:t>
      </w:r>
      <w:r>
        <w:rPr>
          <w:rFonts w:ascii="Century" w:hAnsi="Century" w:cs="FrankRuehl"/>
          <w:spacing w:val="10"/>
          <w:szCs w:val="28"/>
          <w:rtl/>
        </w:rPr>
        <w:t xml:space="preserve">פ"ד מז(5) 441 (1993), ומוכרים כיום כהלכת </w:t>
      </w:r>
      <w:r>
        <w:rPr>
          <w:rFonts w:ascii="Century" w:hAnsi="Century" w:cs="Miriam"/>
          <w:b/>
          <w:rtl/>
        </w:rPr>
        <w:t>דרעי-פנחסי</w:t>
      </w:r>
      <w:r>
        <w:rPr>
          <w:rFonts w:ascii="Century" w:hAnsi="Century" w:cs="FrankRuehl"/>
          <w:spacing w:val="10"/>
          <w:szCs w:val="28"/>
          <w:rtl/>
        </w:rPr>
        <w:t xml:space="preserve">. </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4.</w:t>
      </w:r>
      <w:r>
        <w:rPr>
          <w:rFonts w:ascii="Century" w:hAnsi="Century" w:cs="FrankRuehl"/>
          <w:spacing w:val="10"/>
          <w:szCs w:val="28"/>
          <w:rtl/>
        </w:rPr>
        <w:tab/>
        <w:t xml:space="preserve">מאז נקבעה, התפרסה מוטת הכנפיים של הלכת </w:t>
      </w:r>
      <w:r>
        <w:rPr>
          <w:rFonts w:ascii="Century" w:hAnsi="Century" w:cs="Miriam"/>
          <w:b/>
          <w:rtl/>
        </w:rPr>
        <w:t>דרעי-פנחסי</w:t>
      </w:r>
      <w:r>
        <w:rPr>
          <w:rFonts w:ascii="Century" w:hAnsi="Century" w:cs="FrankRuehl"/>
          <w:spacing w:val="10"/>
          <w:szCs w:val="28"/>
          <w:rtl/>
        </w:rPr>
        <w:t xml:space="preserve"> הרבה מעבר לכהונתם של שרים או סגני שרים שהואשמו בפלילים. כך למשל, הוחלו עקרונותיה בעניינם של ראשי ערים שהוגשו נגדם כתבי אישום (ראו למשל: בג"ץ 4921/13 </w:t>
      </w:r>
      <w:r>
        <w:rPr>
          <w:rFonts w:ascii="Century" w:hAnsi="Century" w:cs="Miriam"/>
          <w:b/>
          <w:rtl/>
        </w:rPr>
        <w:t>אומ"ץ אזרחים למען מנהל תקין וצדק חברתי נ' ראש עיריית רמת השרון</w:t>
      </w:r>
      <w:r>
        <w:rPr>
          <w:rFonts w:ascii="Century" w:hAnsi="Century" w:cs="FrankRuehl"/>
          <w:spacing w:val="10"/>
          <w:szCs w:val="28"/>
          <w:rtl/>
        </w:rPr>
        <w:t xml:space="preserve">, פ"ד סו(3) 135 (2013)). היא הוחלה אף בהקשרים שבהם הרבב שדבק במועמד למשרה לא התבטא בהגשת כתב אישום (ראו: בג"ץ 4646/08 </w:t>
      </w:r>
      <w:r>
        <w:rPr>
          <w:rFonts w:ascii="Century" w:hAnsi="Century" w:cs="Miriam"/>
          <w:b/>
          <w:rtl/>
        </w:rPr>
        <w:t>לביא נ' ראש הממשלה</w:t>
      </w:r>
      <w:r>
        <w:rPr>
          <w:rFonts w:ascii="Century" w:hAnsi="Century" w:cs="FrankRuehl"/>
          <w:spacing w:val="10"/>
          <w:szCs w:val="28"/>
          <w:rtl/>
        </w:rPr>
        <w:t xml:space="preserve"> (12.10.2008)), או לחלופין נבע מהרשעה בפלילים שכבר הושלמה (ראו: בג"ץ 3095/15</w:t>
      </w:r>
      <w:r>
        <w:rPr>
          <w:rFonts w:ascii="כשרות FrankRuehl" w:hAnsi="כשרות FrankRuehl" w:cs="FrankRuehl"/>
          <w:sz w:val="28"/>
          <w:szCs w:val="28"/>
          <w:rtl/>
        </w:rPr>
        <w:t xml:space="preserve"> </w:t>
      </w:r>
      <w:r>
        <w:rPr>
          <w:rFonts w:ascii="כשרות FrankRuehl" w:hAnsi="כשרות FrankRuehl" w:cs="Miriam"/>
          <w:sz w:val="24"/>
          <w:rtl/>
        </w:rPr>
        <w:t>התנועה למען איכות השלטון בישראל נ' ראש ממשלת ישראל</w:t>
      </w:r>
      <w:r>
        <w:rPr>
          <w:rFonts w:ascii="כשרות FrankRuehl" w:hAnsi="כשרות FrankRuehl" w:cs="FrankRuehl"/>
          <w:sz w:val="28"/>
          <w:szCs w:val="28"/>
          <w:rtl/>
        </w:rPr>
        <w:t xml:space="preserve"> </w:t>
      </w:r>
      <w:r>
        <w:rPr>
          <w:rFonts w:ascii="Century" w:hAnsi="Century" w:cs="FrankRuehl"/>
          <w:spacing w:val="10"/>
          <w:szCs w:val="28"/>
          <w:rtl/>
        </w:rPr>
        <w:t>(13.8.2015), שבו דחיית העתירה התבססה על יישום ההלכה בנסיבות המקרה, ולא על שלילתה). לענייננו, חשוב אף יותר שהכנסת עצמה גילתה דעתה בחקיקה מפורשת – לגבי עובדים בשירות הציבורי, להבדיל מאשר נבחרי ציבור – כי הגשת כתב אישום היא עילה שעשויה להצדיק השעייה מהתפקיד (ראו למשל חוק שירות המדינה (משמעת), התשכ"ג-1963). בכך נתנה הכנסת ביטוי לתפיסה כי הרחקה מכהונה ציבורית על רקע הגשת כתב אישום חמור אינה סותרת מניה וביה את חזקת החפות, והיא אף ראויה.</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Miriam"/>
          <w:b/>
          <w:rtl/>
        </w:rPr>
      </w:pPr>
      <w:r>
        <w:rPr>
          <w:rFonts w:ascii="Century" w:hAnsi="Century" w:cs="Miriam"/>
          <w:b/>
          <w:rtl/>
        </w:rPr>
        <w:t>ההסדר החלקי בחוק יסוד: הממשלה ופרשנותו</w:t>
      </w:r>
    </w:p>
    <w:p w:rsidR="00B12262" w:rsidRDefault="00B12262" w:rsidP="00B12262">
      <w:pPr>
        <w:spacing w:line="360" w:lineRule="auto"/>
        <w:jc w:val="both"/>
        <w:rPr>
          <w:rFonts w:ascii="Century" w:hAnsi="Century" w:cs="Miriam"/>
          <w:b/>
          <w:rtl/>
        </w:rPr>
      </w:pPr>
    </w:p>
    <w:p w:rsidR="00B12262" w:rsidRDefault="00B12262" w:rsidP="00B12262">
      <w:pPr>
        <w:spacing w:line="360" w:lineRule="auto"/>
        <w:jc w:val="both"/>
        <w:rPr>
          <w:rFonts w:ascii="Century" w:hAnsi="Century" w:cs="FrankRuehl"/>
          <w:spacing w:val="10"/>
          <w:szCs w:val="28"/>
          <w:rtl/>
        </w:rPr>
      </w:pPr>
      <w:r>
        <w:rPr>
          <w:rFonts w:ascii="כשרות FrankRuehl" w:hAnsi="כשרות FrankRuehl" w:cs="FrankRuehl"/>
          <w:sz w:val="28"/>
          <w:szCs w:val="28"/>
          <w:rtl/>
        </w:rPr>
        <w:t xml:space="preserve">5. </w:t>
      </w:r>
      <w:r>
        <w:rPr>
          <w:rFonts w:ascii="כשרות FrankRuehl" w:hAnsi="כשרות FrankRuehl" w:cs="FrankRuehl"/>
          <w:sz w:val="28"/>
          <w:szCs w:val="28"/>
          <w:rtl/>
        </w:rPr>
        <w:tab/>
      </w:r>
      <w:r>
        <w:rPr>
          <w:rFonts w:ascii="Century" w:hAnsi="Century" w:cs="FrankRuehl"/>
          <w:spacing w:val="10"/>
          <w:szCs w:val="28"/>
          <w:rtl/>
        </w:rPr>
        <w:t xml:space="preserve">אם כן, לא חזקת החפות עמדה במרכז המחלוקת, אלא שאלת תחולתה של הלכת </w:t>
      </w:r>
      <w:r>
        <w:rPr>
          <w:rFonts w:ascii="Century" w:hAnsi="Century" w:cs="Miriam"/>
          <w:b/>
          <w:rtl/>
        </w:rPr>
        <w:t>דרעי-פנחסי</w:t>
      </w:r>
      <w:r>
        <w:rPr>
          <w:rFonts w:ascii="Century" w:hAnsi="Century" w:cs="FrankRuehl"/>
          <w:spacing w:val="10"/>
          <w:szCs w:val="28"/>
          <w:rtl/>
        </w:rPr>
        <w:t xml:space="preserve"> על מועמדותו לראשות הממשלה של מי שהוגשו נגדו כתבי אישום חמורים. שני הצדדים האוחזים במחלוקת יצאו מנקודת הנחה של "כולה שלי". העותרים סברו כי הלכת </w:t>
      </w:r>
      <w:r>
        <w:rPr>
          <w:rFonts w:ascii="Century" w:hAnsi="Century" w:cs="Miriam"/>
          <w:b/>
          <w:rtl/>
        </w:rPr>
        <w:t xml:space="preserve">דרעי-פנחסי </w:t>
      </w:r>
      <w:r>
        <w:rPr>
          <w:rFonts w:ascii="Century" w:hAnsi="Century" w:cs="FrankRuehl"/>
          <w:spacing w:val="10"/>
          <w:szCs w:val="28"/>
          <w:rtl/>
        </w:rPr>
        <w:t xml:space="preserve">חלה בהכרח גם על מי שמועמד לכהן כראש ממשלה, ועל כן על בית המשפט להורות על כך שלא יוכל לכהן בתפקיד זה. המשיבים מצדם סברו כי הלכת </w:t>
      </w:r>
      <w:r>
        <w:rPr>
          <w:rFonts w:ascii="Century" w:hAnsi="Century" w:cs="Miriam"/>
          <w:b/>
          <w:rtl/>
        </w:rPr>
        <w:t>דרעי-פנחסי</w:t>
      </w:r>
      <w:r>
        <w:rPr>
          <w:rFonts w:ascii="Century" w:hAnsi="Century" w:cs="FrankRuehl"/>
          <w:spacing w:val="10"/>
          <w:szCs w:val="28"/>
          <w:rtl/>
        </w:rPr>
        <w:t xml:space="preserve"> מוגבלת לכל היותר לכהונתם של שרים וסגני שרים, ואינה מתאימה לחול על עניינו של מועמד לראשות ממשלה. טעמם לכך היה כפול למעשה: ראשית, לשיטת המשיבים ההלכה מלכתחילה אינה אמורה לחול על התוצאה הישירה הנובעת מן הבחירות הדמוקרטיות – זהותו של המכהן בראשות הממשלה (גם אם הבחירה בו אינה "אישית" במישור הפורמאלי). שנית, הם סוברים כי מאז ניתנה הלכת </w:t>
      </w:r>
      <w:r>
        <w:rPr>
          <w:rFonts w:ascii="Century" w:hAnsi="Century" w:cs="Miriam"/>
          <w:b/>
          <w:rtl/>
        </w:rPr>
        <w:t>דרעי-פנחסי</w:t>
      </w:r>
      <w:r>
        <w:rPr>
          <w:rFonts w:ascii="Century" w:hAnsi="Century" w:cs="FrankRuehl"/>
          <w:spacing w:val="10"/>
          <w:szCs w:val="28"/>
          <w:rtl/>
        </w:rPr>
        <w:t xml:space="preserve"> חל שינוי רלוונטי במצב המשפטי, במובן זה שחוק יסוד: הממשלה בנוסחו העדכני משנת 2001, וליתר דיוק, סעיפים 17 ו-18 לו שעניינם ההסדרים החלים על חקירה והגשת כתב אישום כנגד ראש ממשלה, מלמדים כי הגשת כתב אישום אינה מונעת כהונה כראש ממשלה.</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6.</w:t>
      </w:r>
      <w:r>
        <w:rPr>
          <w:rFonts w:ascii="Century" w:hAnsi="Century" w:cs="FrankRuehl"/>
          <w:spacing w:val="10"/>
          <w:szCs w:val="28"/>
          <w:rtl/>
        </w:rPr>
        <w:tab/>
        <w:t xml:space="preserve">לאמיתו של דבר, שני הצדדים לא דייקו בהצגת המצב המשפטי. העותרים הרחיקו לכת בטענתם שהלכת </w:t>
      </w:r>
      <w:r>
        <w:rPr>
          <w:rFonts w:ascii="Century" w:hAnsi="Century" w:cs="Miriam"/>
          <w:b/>
          <w:rtl/>
        </w:rPr>
        <w:t>דרעי-פנחסי</w:t>
      </w:r>
      <w:r>
        <w:rPr>
          <w:rFonts w:ascii="כשרות FrankRuehl" w:hAnsi="כשרות FrankRuehl" w:cs="FrankRuehl"/>
          <w:sz w:val="28"/>
          <w:szCs w:val="28"/>
          <w:rtl/>
        </w:rPr>
        <w:t xml:space="preserve"> </w:t>
      </w:r>
      <w:r>
        <w:rPr>
          <w:rFonts w:ascii="Century" w:hAnsi="Century" w:cs="FrankRuehl"/>
          <w:spacing w:val="10"/>
          <w:szCs w:val="28"/>
          <w:rtl/>
        </w:rPr>
        <w:t xml:space="preserve">חלה באותו אופן בדיוק על כהונה בתפקיד של ראש ממשלה. המשיבים הרחיקו לכת בסברם שהלכת </w:t>
      </w:r>
      <w:r>
        <w:rPr>
          <w:rFonts w:ascii="Century" w:hAnsi="Century" w:cs="Miriam"/>
          <w:b/>
          <w:rtl/>
        </w:rPr>
        <w:t>דרעי-פנחסי</w:t>
      </w:r>
      <w:r>
        <w:rPr>
          <w:rFonts w:ascii="כשרות FrankRuehl" w:hAnsi="כשרות FrankRuehl" w:cs="FrankRuehl"/>
          <w:sz w:val="28"/>
          <w:szCs w:val="28"/>
          <w:rtl/>
        </w:rPr>
        <w:t xml:space="preserve"> </w:t>
      </w:r>
      <w:r>
        <w:rPr>
          <w:rFonts w:ascii="Century" w:hAnsi="Century" w:cs="FrankRuehl"/>
          <w:spacing w:val="10"/>
          <w:szCs w:val="28"/>
          <w:rtl/>
        </w:rPr>
        <w:t xml:space="preserve">כלל אינה רלוונטית לדיון, וכי חוק יסוד: הממשלה מכריע את תוצאותיו. </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7. </w:t>
      </w:r>
      <w:r>
        <w:rPr>
          <w:rFonts w:ascii="Century" w:hAnsi="Century" w:cs="FrankRuehl"/>
          <w:spacing w:val="10"/>
          <w:szCs w:val="28"/>
          <w:rtl/>
        </w:rPr>
        <w:tab/>
        <w:t xml:space="preserve">אפתח בהתייחסות למשיבים. אלה חזרו ואחזו בסעיף 18 לחוק יסוד: הממשלה המורה כי עם הרשעתו של ראש ממשלה בעבירה שיש עמה קלון תוכל הכנסת להחליט על סיום כהונתו, וכי הכהונה מסתיימת באופן החלטי רק כאשר ההרשעה הופכת לחלוטה. המשיבים ביקשו ללמוד מכך כי כתב אישום אינו מייצר מניעה לכהונה בראשות הממשלה. אולם מה באשר למועמד לכהן כראש ממשלה? סעיף 18 לחוק יסוד: הממשלה, כפי שמורה נוסחו בבירור, נסב על מצב דברים שבו מוגש כתב אישום נגד ראש ממשלה בעת שהוא </w:t>
      </w:r>
      <w:r>
        <w:rPr>
          <w:rFonts w:ascii="Century" w:hAnsi="Century" w:cs="Miriam"/>
          <w:b/>
          <w:rtl/>
        </w:rPr>
        <w:t>מכהן</w:t>
      </w:r>
      <w:r>
        <w:rPr>
          <w:rFonts w:ascii="Century" w:hAnsi="Century" w:cs="FrankRuehl"/>
          <w:spacing w:val="10"/>
          <w:szCs w:val="28"/>
          <w:rtl/>
        </w:rPr>
        <w:t xml:space="preserve"> בתפקידו. השאלה המשטרית שאותה מיועד סעיף 18 לחוק יסוד: הממשלה להסדיר היא האם הגשת כתב אישום אמורה להוביל להפסקת כהונתו של ראש הממשלה – והוא משיב עליה בשלילה. בכך, מגביל חוק היסוד את היקף תחולתה של הלכת </w:t>
      </w:r>
      <w:r>
        <w:rPr>
          <w:rFonts w:ascii="Century" w:hAnsi="Century" w:cs="Miriam"/>
          <w:b/>
          <w:rtl/>
        </w:rPr>
        <w:t xml:space="preserve">דרעי-פנחסי </w:t>
      </w:r>
      <w:r>
        <w:rPr>
          <w:rFonts w:ascii="Century" w:hAnsi="Century" w:cs="FrankRuehl"/>
          <w:spacing w:val="10"/>
          <w:szCs w:val="28"/>
          <w:rtl/>
        </w:rPr>
        <w:t xml:space="preserve">ביחס למצב של הגשת כתב אישום כנגד ראש ממשלה מכהן. אין מוצא ממסקנה זו, ובכך שונה כהונה של ראשות ממשלה מתפקידים אחרים שבהם הופעלה ההלכה בעבר, חרף אי-הנוחות שמעורר הניגוד – שנראה לכאורה אבסורדי – בין רום התפקיד לבין הנכונות לכך שיכהן בו מי שאינו יכול למלא תפקידים פחותים בהרבה על רקע הגשתו של כתב אישום (כפי שהיטיב להראות חברי השופט </w:t>
      </w:r>
      <w:r>
        <w:rPr>
          <w:rFonts w:ascii="Century" w:hAnsi="Century" w:cs="Miriam"/>
          <w:b/>
          <w:rtl/>
        </w:rPr>
        <w:t>עמית</w:t>
      </w:r>
      <w:r>
        <w:rPr>
          <w:rFonts w:ascii="Century" w:hAnsi="Century" w:cs="FrankRuehl"/>
          <w:spacing w:val="10"/>
          <w:szCs w:val="28"/>
          <w:rtl/>
        </w:rPr>
        <w:t xml:space="preserve"> בפסק דינו). כמוסבר בהמשך, יש לראות בכך הסדר המבטא פשרה בין השיקולים הנוגעים לפן הערכי-נורמטיבי לבין שיקולים הנוגעים ליציבות השלטון, בהתחשב בתוצאות הכרוכות בסיום כהונה של ראש ממשלה – סיום כהונתה של הממשלה כולה. </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8. </w:t>
      </w:r>
      <w:r>
        <w:rPr>
          <w:rFonts w:ascii="Century" w:hAnsi="Century" w:cs="FrankRuehl"/>
          <w:spacing w:val="10"/>
          <w:szCs w:val="28"/>
          <w:rtl/>
        </w:rPr>
        <w:tab/>
        <w:t xml:space="preserve">אולם, וזהו הייחוד במקרה שבפנינו, סעיף 18 לחוק יסוד: הממשלה אינו חל על הסוגיה של </w:t>
      </w:r>
      <w:r>
        <w:rPr>
          <w:rFonts w:ascii="Century" w:hAnsi="Century" w:cs="Miriam"/>
          <w:b/>
          <w:rtl/>
        </w:rPr>
        <w:t>מועמדות</w:t>
      </w:r>
      <w:r>
        <w:rPr>
          <w:rFonts w:ascii="Century" w:hAnsi="Century" w:cs="FrankRuehl"/>
          <w:spacing w:val="10"/>
          <w:szCs w:val="28"/>
          <w:rtl/>
        </w:rPr>
        <w:t xml:space="preserve"> לכהונה כראש ממשלה – לא על מועמדות של מי שטרם כיהן בתפקיד ולא על מועמדות של מי שכבר כיהן בתפקיד ומבקש לקבל על עצמו תקופת כהונה נוספת. אסביר.</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9. </w:t>
      </w:r>
      <w:r>
        <w:rPr>
          <w:rFonts w:ascii="Century" w:hAnsi="Century" w:cs="FrankRuehl"/>
          <w:spacing w:val="10"/>
          <w:szCs w:val="28"/>
          <w:rtl/>
        </w:rPr>
        <w:tab/>
        <w:t xml:space="preserve">אפתח בלשונו של חוק היסוד – סעיף 18 לחוק יסוד: הממשלה עוסק בעניינו של </w:t>
      </w:r>
      <w:r>
        <w:rPr>
          <w:rFonts w:ascii="Century" w:hAnsi="Century" w:cs="Miriam"/>
          <w:b/>
          <w:rtl/>
        </w:rPr>
        <w:t>ראש ממשלה</w:t>
      </w:r>
      <w:r>
        <w:rPr>
          <w:rFonts w:ascii="Century" w:hAnsi="Century" w:cs="FrankRuehl"/>
          <w:spacing w:val="10"/>
          <w:szCs w:val="28"/>
          <w:rtl/>
        </w:rPr>
        <w:t xml:space="preserve">. הוא אינו חל על מי שעדיין לא מכהן בתפקיד. על כן, כבר מן הבחינה הלשונית הפשוטה אין לו תחולה על מי שהוא אך מועמד לתפקיד. אכן, סעיף 17 לחוק יסוד: הממשלה מתייחס גם למצב של כתב אישום שהוגש נגד ראש ממשלה עובר לראשית כהונתו. האם ניתן ללמוד מכך כי חוק היסוד מכיר באפשרות של מועמד לראשות ממשלה שהוגש נגדו כתב אישום בעבירות חמורות ובכל זאת החל לכהן בתפקיד? אינני סבורה כך. בהקשר זה נודעת חשיבות רבה להשוואה בין נוסחם של שני הסעיפים. סעיף 17 לחוק יסוד: הממשלה המתייחס כאמור לכתב אישום שהוגש נגד מועמד לראשות ממשלה עובר לתחילת כהונתו, נדרש באופן כללי לאפשרות של ניהול משפט פלילי שהחל לפני ראשית הכהונה של ראש הממשלה (ובעניין זה מפנה לפרטים שייקבעו בחוק, כפי שאכן נעשה בסעיף 4 לחוק הממשלה, התשס"א-2001). הוא אינו נדרש באופן ספציפי לאפשרות שיהיה זה כתב אישום שבמרכזו עבירות שיש עמן קלון. עובדה זו מתחדדת כאשר קוראים את נוסחו של סעיף 17 לחוק היסוד בהשוואה לסעיף 18 לחוק היסוד – אשר עוסק באופן ספציפי במצב של הגשת כתב אישום בגין עבירות שההרשעה בהן כרוכה בקלון. אינני מקבלת אפוא את הטענה שלשונו של סעיף 18 לחוק יסוד: הממשלה מכריעה במקרה הנדון. למעשה, אני סבורה שפרשנות לשונית גרידא של חוק יסוד: הממשלה מכוונת למסקנה כי הוא אינו נדרש במישרין למצב שהוצג בפנינו – מועמדותו של חבר כנסת שהוגש נגדו כתב אישום חמור לראשות הממשלה. בעניין זה אפוא אינני רואה עין בעין עם חברי השופט </w:t>
      </w:r>
      <w:r>
        <w:rPr>
          <w:rFonts w:ascii="Century" w:hAnsi="Century" w:cs="Miriam"/>
          <w:spacing w:val="10"/>
          <w:sz w:val="24"/>
          <w:rtl/>
        </w:rPr>
        <w:t>ד' מינץ</w:t>
      </w:r>
      <w:r>
        <w:rPr>
          <w:rFonts w:ascii="Century" w:hAnsi="Century" w:cs="FrankRuehl"/>
          <w:spacing w:val="10"/>
          <w:szCs w:val="28"/>
          <w:rtl/>
        </w:rPr>
        <w:t>.</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10. </w:t>
      </w:r>
      <w:r>
        <w:rPr>
          <w:rFonts w:ascii="Century" w:hAnsi="Century" w:cs="FrankRuehl"/>
          <w:spacing w:val="10"/>
          <w:szCs w:val="28"/>
          <w:rtl/>
        </w:rPr>
        <w:tab/>
        <w:t xml:space="preserve">ומן הלשון – לתכלית. לשיטתי, במקרה זה הן עולות יפה בקנה אחד. ההכרה בכך שניהול משפט נגד ראש ממשלה מכהן, גם בעבירות חמורות, איננו עילה להפסקת כהונתו, מבטאת את ההשלכות המיוחדות הכרוכות בהגשת כתב אישום תוך כדי כהונתו של אדם כראש ממשלה. החלתה של הלכת </w:t>
      </w:r>
      <w:r>
        <w:rPr>
          <w:rFonts w:ascii="Century" w:hAnsi="Century" w:cs="Miriam"/>
          <w:b/>
          <w:rtl/>
        </w:rPr>
        <w:t>דרעי-פנחסי</w:t>
      </w:r>
      <w:r>
        <w:rPr>
          <w:rFonts w:ascii="Century" w:hAnsi="Century" w:cs="FrankRuehl"/>
          <w:spacing w:val="10"/>
          <w:szCs w:val="28"/>
          <w:rtl/>
        </w:rPr>
        <w:t xml:space="preserve"> על מי שכבר מכהן בתפקיד ראש הממשלה צפויה להשליך על היציבות השלטונית. היא אף משליכה במישרין על תוצאותיהן של בחירות שהתקיימו קודם להגשתו של כתב האישום. הפסקת כהונתו של ראש הממשלה מביאה להפסקת כהונתה של הממשלה כולה, ובכך יוצרת שינוי טקטוני בניהול המדינה ועשויה להוביל בסבירות גבוהה לבחירות כלליות. סעיף 18 לחוק יסוד: הממשלה ביקש למנוע זאת. האיזון בין שיקולים נורמטיביים לבין שיקולים של יציבות שלטונית מחייב אפוא לפרש את סעיף 18 לחוק יסוד: הממשלה כ"מחסן" את כהונתו של ראש הממשלה רק עד לסיום הכהונה באותה קדנציה, ככל שהוא בוחר להמשיך בתפקידו ונהנה מאמון הכנסת.</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11. </w:t>
      </w:r>
      <w:r>
        <w:rPr>
          <w:rFonts w:ascii="Century" w:hAnsi="Century" w:cs="FrankRuehl"/>
          <w:spacing w:val="10"/>
          <w:szCs w:val="28"/>
          <w:rtl/>
        </w:rPr>
        <w:tab/>
        <w:t>בהמשך לכך, האם מהיבט תחולתו של סעיף 18 לחוק יסוד: הממשלה יש משמעות לעובדה שהמועמד לראשות הממשלה הוא מי שכבר מכהן כראש הממשלה בפועל? אני סבורה שהתשובה לשאלה זו חייבת להיות שלילית. אם לא כן – התוצאה תהיה מתן עדיפות למי שכבר כיהן בעבר כראש ממשלה מול מתחרים פוליטיים הקוראים תיגר על כהונתו, בהינתן מצב (עצוב, אך לא ניתן עוד לומר שבלתי אפשרי) שבו הוגשו כתבי אישום אף נגדם.</w:t>
      </w:r>
    </w:p>
    <w:p w:rsidR="00B12262" w:rsidRDefault="00B12262" w:rsidP="00B12262">
      <w:pPr>
        <w:spacing w:line="360" w:lineRule="auto"/>
        <w:jc w:val="both"/>
        <w:rPr>
          <w:rFonts w:ascii="Century" w:hAnsi="Century" w:cs="FrankRuehl"/>
          <w:spacing w:val="10"/>
          <w:szCs w:val="28"/>
          <w:rtl/>
        </w:rPr>
      </w:pPr>
    </w:p>
    <w:p w:rsidR="00B12262" w:rsidRDefault="00B12262" w:rsidP="00B12262">
      <w:pPr>
        <w:pStyle w:val="Ruller40"/>
        <w:rPr>
          <w:rFonts w:ascii="Century" w:hAnsi="Century"/>
          <w:rtl/>
        </w:rPr>
      </w:pPr>
      <w:r>
        <w:rPr>
          <w:rFonts w:ascii="Century" w:hAnsi="Century"/>
          <w:rtl/>
        </w:rPr>
        <w:t>12.</w:t>
      </w:r>
      <w:r>
        <w:rPr>
          <w:rFonts w:ascii="Century" w:hAnsi="Century"/>
          <w:rtl/>
        </w:rPr>
        <w:tab/>
        <w:t xml:space="preserve">ועתה לטענותיהם של העותרים. אף אני סבורה כי עקרונות היסוד שעומדים בבסיסה של הלכת </w:t>
      </w:r>
      <w:r>
        <w:rPr>
          <w:rFonts w:ascii="Century" w:hAnsi="Century" w:cs="Miriam"/>
          <w:b/>
          <w:spacing w:val="0"/>
          <w:szCs w:val="24"/>
          <w:rtl/>
        </w:rPr>
        <w:t>דרעי-פנחסי</w:t>
      </w:r>
      <w:r>
        <w:rPr>
          <w:rFonts w:ascii="Century" w:hAnsi="Century"/>
          <w:rtl/>
        </w:rPr>
        <w:t xml:space="preserve"> חלים גם חלים על מועמדות לכהונה בתפקיד של ראש ממשלה, ואף ביתר שאת. מוטת הכנפיים של הלכה זו התפרסה הרבה מעבר לדלת אמותיהם של מי שמשמשים כשרים (כאמור בפסקה 4 לעיל)</w:t>
      </w:r>
      <w:r>
        <w:rPr>
          <w:rtl/>
        </w:rPr>
        <w:t xml:space="preserve">, והטעמים לכך ברורים. הערך של טוהר המידות בשירות הציבורי נכון ותקף ביחס למשרות כולן – בכירות כזוטרות. </w:t>
      </w:r>
      <w:r>
        <w:rPr>
          <w:rFonts w:ascii="Century" w:hAnsi="Century"/>
          <w:rtl/>
        </w:rPr>
        <w:t xml:space="preserve">סעיף 18 לחוק יסוד: הממשלה קובע לכך חריג בעל גבולות מתוחמים, ביחס לראש ממשלה מכהן. כך, נותר מקום להמשך תחולתה של הלכת </w:t>
      </w:r>
      <w:r>
        <w:rPr>
          <w:rFonts w:ascii="Century" w:hAnsi="Century" w:cs="Miriam"/>
          <w:b/>
          <w:spacing w:val="0"/>
          <w:szCs w:val="24"/>
          <w:rtl/>
        </w:rPr>
        <w:t>דרעי-פנחסי</w:t>
      </w:r>
      <w:r>
        <w:rPr>
          <w:rFonts w:ascii="Century" w:hAnsi="Century"/>
          <w:rtl/>
        </w:rPr>
        <w:t xml:space="preserve"> בכל הנוגע לכלל המקרים שלא נקבע ביחס אליהם הסדר אחר, ובהם מועמדות לכהונה בראשות הממשלה. </w:t>
      </w:r>
    </w:p>
    <w:p w:rsidR="00B12262" w:rsidRDefault="00B12262" w:rsidP="00B12262">
      <w:pPr>
        <w:pStyle w:val="Ruller40"/>
        <w:rPr>
          <w:rFonts w:ascii="Century" w:hAnsi="Century"/>
          <w:rtl/>
        </w:rPr>
      </w:pPr>
    </w:p>
    <w:p w:rsidR="00B12262" w:rsidRDefault="00B12262" w:rsidP="00B12262">
      <w:pPr>
        <w:pStyle w:val="Ruller40"/>
        <w:rPr>
          <w:rFonts w:ascii="Century" w:hAnsi="Century"/>
          <w:rtl/>
        </w:rPr>
      </w:pPr>
      <w:r>
        <w:rPr>
          <w:rFonts w:ascii="Century" w:hAnsi="Century"/>
          <w:rtl/>
        </w:rPr>
        <w:t xml:space="preserve">13. </w:t>
      </w:r>
      <w:r>
        <w:rPr>
          <w:rFonts w:ascii="Century" w:hAnsi="Century"/>
          <w:rtl/>
        </w:rPr>
        <w:tab/>
        <w:t xml:space="preserve">אם כן, היכן נפרדת דרכי מזו של העותרים? כפי שהסבירה חברתי הנשיאה, כאשר עסקינן במועמד לתפקיד ראש הממשלה, החלתה של הלכת </w:t>
      </w:r>
      <w:r>
        <w:rPr>
          <w:rFonts w:ascii="Century" w:hAnsi="Century" w:cs="Miriam"/>
          <w:b/>
          <w:spacing w:val="0"/>
          <w:szCs w:val="24"/>
          <w:rtl/>
        </w:rPr>
        <w:t>דרעי-פנחסי</w:t>
      </w:r>
      <w:r>
        <w:rPr>
          <w:rFonts w:ascii="Century" w:hAnsi="Century"/>
          <w:rtl/>
        </w:rPr>
        <w:t xml:space="preserve"> חייבת להיעשות באופן שונה. כאשר מדובר בכהונה של שר או סגן שר ההחלטה העומדת לביקורת שיפוטית – אם למנותם לתפקידיהם או לפטרם מתפקידים אלה – היא החלטה של ראש הממשלה ה"ממונה" עליהם. לעומת זאת, בכל הנוגע למועמדות לתפקיד של ראש ממשלה ההחלטה העומדת לביקורת היא בראש ובראשונה החלטתה של הכנסת לתת אמון בו ובממשלתו. כפי שציינה חברתי הנשיאה, מדובר בהחלטה חוקתית מובהקת של גוף קולגיאלי, המורכב מנציגיו של הציבור. זוהי החלטה בעלת אופי תשתיתי, כזו שמכוננת את ה"פלטפורמה" עצמה, כלומר יוצרת את הממשלה. </w:t>
      </w:r>
    </w:p>
    <w:p w:rsidR="00B12262" w:rsidRDefault="00B12262" w:rsidP="00B12262">
      <w:pPr>
        <w:pStyle w:val="Ruller40"/>
        <w:rPr>
          <w:rFonts w:ascii="Century" w:hAnsi="Century"/>
          <w:rtl/>
        </w:rPr>
      </w:pPr>
    </w:p>
    <w:p w:rsidR="00B12262" w:rsidRDefault="00B12262" w:rsidP="00B12262">
      <w:pPr>
        <w:pStyle w:val="Ruller40"/>
        <w:rPr>
          <w:rFonts w:ascii="Century" w:hAnsi="Century" w:cs="Miriam"/>
          <w:b/>
          <w:spacing w:val="0"/>
          <w:szCs w:val="24"/>
          <w:rtl/>
        </w:rPr>
      </w:pPr>
      <w:r>
        <w:rPr>
          <w:rFonts w:ascii="Century" w:hAnsi="Century" w:cs="Miriam"/>
          <w:b/>
          <w:spacing w:val="0"/>
          <w:szCs w:val="24"/>
          <w:rtl/>
        </w:rPr>
        <w:t>מתחם ההתערבות השיפוטית</w:t>
      </w:r>
    </w:p>
    <w:p w:rsidR="00B12262" w:rsidRDefault="00B12262" w:rsidP="00B12262">
      <w:pPr>
        <w:pStyle w:val="Ruller40"/>
        <w:rPr>
          <w:rFonts w:ascii="Century" w:hAnsi="Century"/>
          <w:rtl/>
        </w:rPr>
      </w:pPr>
    </w:p>
    <w:p w:rsidR="00B12262" w:rsidRDefault="00B12262" w:rsidP="00B12262">
      <w:pPr>
        <w:pStyle w:val="Ruller40"/>
        <w:rPr>
          <w:rFonts w:ascii="Century" w:hAnsi="Century"/>
          <w:rtl/>
        </w:rPr>
      </w:pPr>
      <w:r>
        <w:rPr>
          <w:rFonts w:ascii="Century" w:hAnsi="Century"/>
          <w:rtl/>
        </w:rPr>
        <w:t xml:space="preserve">14. </w:t>
      </w:r>
      <w:r>
        <w:rPr>
          <w:rFonts w:ascii="Century" w:hAnsi="Century"/>
          <w:rtl/>
        </w:rPr>
        <w:tab/>
        <w:t>בשים לב לאופייה של ההחלטה העומדת בפנינו, גבולות הביקורת השיפוטית ביחס אליה הם צרים במיוחד. כך מתחייב מעקרונות היסוד של משטרנו החוקתי, המבוסס על דמוקרטיה ייצוגית (ובהתאם הותוותה מתכונת התערבות מצומצמת בהחלטות הכנסת גם בהקשרים אחרים. ראו:</w:t>
      </w:r>
      <w:r>
        <w:rPr>
          <w:rFonts w:ascii="Century" w:hAnsi="Century"/>
        </w:rPr>
        <w:t xml:space="preserve"> </w:t>
      </w:r>
      <w:r>
        <w:rPr>
          <w:rFonts w:ascii="Century" w:hAnsi="Century"/>
          <w:rtl/>
        </w:rPr>
        <w:t xml:space="preserve">בג"ץ 652/81 </w:t>
      </w:r>
      <w:r>
        <w:rPr>
          <w:rFonts w:ascii="Century" w:hAnsi="Century" w:cs="Miriam"/>
          <w:b/>
          <w:spacing w:val="0"/>
          <w:szCs w:val="24"/>
          <w:rtl/>
        </w:rPr>
        <w:t>שריד נ' יושב-ראש הכנסת</w:t>
      </w:r>
      <w:r>
        <w:rPr>
          <w:rFonts w:ascii="Century" w:hAnsi="Century"/>
          <w:rtl/>
        </w:rPr>
        <w:t xml:space="preserve">, פ"ד לו(2) 197 (1982)). לא מיותר לציין – ודומה שהעותרים לא נדרשו לכך – כי בית משפט זה נמנע מלהתערב בבחירתו של רפאל פנחסי עצמו לתפקיד של יושב-ראש ועדת הכנסת אף לאחר שהורשע בדין, וזאת בעבירות שיש עמן קלון (ראו: בג"ץ </w:t>
      </w:r>
      <w:r>
        <w:rPr>
          <w:rFonts w:ascii="כשרות FrankRuehl" w:hAnsi="כשרות FrankRuehl"/>
          <w:sz w:val="28"/>
          <w:rtl/>
        </w:rPr>
        <w:t xml:space="preserve">7367/97 </w:t>
      </w:r>
      <w:r>
        <w:rPr>
          <w:rFonts w:ascii="Century" w:hAnsi="Century" w:cs="Miriam"/>
          <w:b/>
          <w:spacing w:val="0"/>
          <w:szCs w:val="24"/>
          <w:rtl/>
        </w:rPr>
        <w:t>התנועה למען איכות השלטון בישראל נ' היועץ המשפטי לממשלה</w:t>
      </w:r>
      <w:r>
        <w:rPr>
          <w:rFonts w:ascii="Century" w:hAnsi="Century"/>
          <w:rtl/>
        </w:rPr>
        <w:t>, פ"ד נב(4) 547 (1998)). כלומר, חרף פסק הדין שהורה על פיטוריו של חבר הכנסת פנחסי מתפקיד של סגן שר, אשר ניתן עוד בטרם הורשע, בית משפט זה קבע כי אין מקום להתערבות בהחלטה המתקבלת בתוככי הכנסת ביחס לכהונתו כיושב ראש ועדה מוועדותיה. זאת, אף שבינתיים הורשע בעבירה שיש עמה קלון, כך שחזקת החפות לא עמדה לו עוד.</w:t>
      </w:r>
    </w:p>
    <w:p w:rsidR="00B12262" w:rsidRDefault="00B12262" w:rsidP="00B12262">
      <w:pPr>
        <w:pStyle w:val="Ruller40"/>
        <w:rPr>
          <w:rFonts w:ascii="Century" w:hAnsi="Century"/>
          <w:rtl/>
        </w:rPr>
      </w:pPr>
    </w:p>
    <w:p w:rsidR="00B12262" w:rsidRDefault="00B12262" w:rsidP="00B12262">
      <w:pPr>
        <w:pStyle w:val="Ruller40"/>
        <w:rPr>
          <w:rFonts w:ascii="Century" w:hAnsi="Century"/>
          <w:rtl/>
        </w:rPr>
      </w:pPr>
      <w:r>
        <w:rPr>
          <w:rFonts w:ascii="Century" w:hAnsi="Century"/>
          <w:rtl/>
        </w:rPr>
        <w:t>15.</w:t>
      </w:r>
      <w:r>
        <w:rPr>
          <w:rFonts w:ascii="Century" w:hAnsi="Century"/>
          <w:rtl/>
        </w:rPr>
        <w:tab/>
        <w:t>הקושי להעמיד החלטה מסוג זה לביקורת שיפוטית אף מתחדד בזוכרנו את הנסיבות שאפפו את קבלתה: החלטתם של רוב חברי הכנסת לתמוך במועמד לראשות הממשלה התקבלה לאחר שלוש מערכות בחירות רצופות, שהתקיימו בתוך תקופה של כשנה, ועד כה לא הובילו להקמת ממשלה. היא התקבלה בעיצומה של התקופה שבה מתמודדת מדינת ישראל, כמו העולם כולו, עם מגפת הקורונה. האם שיקולים אלה היו צריכים להכריע את הכף? שאלה זו מנסרת בחלל האוויר. זוהי שאלה ראויה לדיון בשיח הציבורי בישראל, אך אין בה עילה להתערבות שיפוטית.</w:t>
      </w:r>
    </w:p>
    <w:p w:rsidR="00B12262" w:rsidRDefault="00B12262" w:rsidP="00B12262">
      <w:pPr>
        <w:pStyle w:val="Ruller40"/>
        <w:rPr>
          <w:rFonts w:ascii="Century" w:hAnsi="Century"/>
          <w:rtl/>
        </w:rPr>
      </w:pPr>
    </w:p>
    <w:p w:rsidR="00B12262" w:rsidRDefault="00B12262" w:rsidP="00B12262">
      <w:pPr>
        <w:pStyle w:val="Ruller40"/>
        <w:rPr>
          <w:rFonts w:ascii="Century" w:hAnsi="Century"/>
          <w:rtl/>
        </w:rPr>
      </w:pPr>
      <w:r>
        <w:rPr>
          <w:rFonts w:ascii="Century" w:hAnsi="Century"/>
          <w:rtl/>
        </w:rPr>
        <w:t>16.</w:t>
      </w:r>
      <w:r>
        <w:rPr>
          <w:rFonts w:ascii="Century" w:hAnsi="Century"/>
          <w:rtl/>
        </w:rPr>
        <w:tab/>
        <w:t xml:space="preserve">חשוב להדגיש: עצם העובדה שהנושא המובא בפני בית המשפט הוא בעל היבטים פוליטיים אינה טעם טוב שלא לעסוק בו אם יש לו היבטים משפטיים ברורים. אולם, כאן יש לתת את הדעת על שתי הבחנות חשובות. ראשית, הגנה מפני פגיעה בזכויות אדם מצויה תמיד בליבת תפקידו של בית המשפט. גם אם ההחלטה המחוללת פגיעה כזו היא בעלת תכלית או הקשר פוליטיים, אין בכך כדי למנוע התערבות בה אם אינה עומדת באמות מידה חוקתיות. בהקשר הנוכחי, השאלה שבה נדרשנו להכריע היא חשובה ביותר, אך אינה נוגעת במישרין להגנה על זכויות אדם. שנית, תהום פעורה בין החלטה חוקתית, המכוננת את הרשות המבצעת, לבין החלטה המתקבלת בגדרה כחלק מפעולתה השוטפת, אפילו היא נוגעת לכהונתו של שר. </w:t>
      </w:r>
    </w:p>
    <w:p w:rsidR="00B12262" w:rsidRDefault="00B12262" w:rsidP="00B12262">
      <w:pPr>
        <w:pStyle w:val="Ruller40"/>
        <w:rPr>
          <w:rFonts w:ascii="Century" w:hAnsi="Century"/>
          <w:rtl/>
        </w:rPr>
      </w:pPr>
    </w:p>
    <w:p w:rsidR="00B12262" w:rsidRDefault="00B12262" w:rsidP="00B12262">
      <w:pPr>
        <w:pStyle w:val="Ruller40"/>
        <w:rPr>
          <w:rFonts w:ascii="Century" w:hAnsi="Century" w:cs="Miriam"/>
          <w:b/>
          <w:spacing w:val="0"/>
          <w:szCs w:val="24"/>
          <w:rtl/>
        </w:rPr>
      </w:pPr>
      <w:r>
        <w:rPr>
          <w:rFonts w:ascii="Century" w:hAnsi="Century" w:cs="Miriam"/>
          <w:b/>
          <w:spacing w:val="0"/>
          <w:szCs w:val="24"/>
          <w:rtl/>
        </w:rPr>
        <w:t>חובת האמון של חברי הכנסת</w:t>
      </w:r>
    </w:p>
    <w:p w:rsidR="00B12262" w:rsidRDefault="00B12262" w:rsidP="00B12262">
      <w:pPr>
        <w:pStyle w:val="Ruller40"/>
        <w:rPr>
          <w:rFonts w:ascii="Century" w:hAnsi="Century"/>
          <w:rtl/>
        </w:rPr>
      </w:pPr>
    </w:p>
    <w:p w:rsidR="00B12262" w:rsidRDefault="00B12262" w:rsidP="00B12262">
      <w:pPr>
        <w:pStyle w:val="Ruller40"/>
        <w:rPr>
          <w:rFonts w:ascii="Century" w:hAnsi="Century"/>
          <w:rtl/>
        </w:rPr>
      </w:pPr>
      <w:r>
        <w:rPr>
          <w:rFonts w:ascii="Century" w:hAnsi="Century"/>
          <w:rtl/>
        </w:rPr>
        <w:t>17.</w:t>
      </w:r>
      <w:r>
        <w:rPr>
          <w:rFonts w:ascii="Century" w:hAnsi="Century"/>
          <w:rtl/>
        </w:rPr>
        <w:tab/>
        <w:t xml:space="preserve">לשיטתי, ההכרה במתחם ההתערבות הצר בהחלטתם של חברי הכנסת אינה מלמדת על כך שחברי הכנסת פועלים בחלל נורמטיבי. אכן, בחינת החלטתם של חברי הכנסת בעניין זה אינה יכולה להיעשות מן הפריזמה של הסבירות המינהלית, אך יש גם יש לבחון אותה לאורה של חובת האמון החוקתית שבה הם חייבים. ככל מי שמופקד על מילוי תפקיד ציבורי המקנה סמכות וכוח, גם חברי הכנסת חבים חובות שונות כלפי הציבור המיוצג על-ידם, ובהתאם לכך צריכים לשקול שיקולים שעניינם טובת הציבור, ובכלל זה טוהר המידות של כלל חברי הממשלה והעומד בראשה. חברי הכנסת הם למעשה נאמני הציבור, ויש להם חובות אמון כלפיו (ראו והשוו: סוזי נבות "חבר כנסת כ'נאמן הציבור'" </w:t>
      </w:r>
      <w:r>
        <w:rPr>
          <w:rFonts w:ascii="Century" w:hAnsi="Century" w:cs="Miriam"/>
          <w:b/>
          <w:spacing w:val="0"/>
          <w:szCs w:val="24"/>
          <w:rtl/>
        </w:rPr>
        <w:t>משפטים</w:t>
      </w:r>
      <w:r>
        <w:rPr>
          <w:rFonts w:ascii="Century" w:hAnsi="Century"/>
          <w:rtl/>
        </w:rPr>
        <w:t xml:space="preserve"> לא 433 (2000); </w:t>
      </w:r>
      <w:r>
        <w:rPr>
          <w:rFonts w:ascii="Times New Roman" w:hAnsi="Times New Roman" w:cs="Times New Roman"/>
          <w:sz w:val="24"/>
          <w:szCs w:val="24"/>
        </w:rPr>
        <w:t xml:space="preserve">Lindsay Aagaard, </w:t>
      </w:r>
      <w:r>
        <w:rPr>
          <w:rFonts w:ascii="Times New Roman" w:hAnsi="Times New Roman" w:cs="Times New Roman"/>
          <w:i/>
          <w:iCs/>
          <w:sz w:val="24"/>
          <w:szCs w:val="24"/>
        </w:rPr>
        <w:t>Fiduciary Duty and Members of Parliament</w:t>
      </w:r>
      <w:r>
        <w:rPr>
          <w:rFonts w:ascii="Times New Roman" w:hAnsi="Times New Roman" w:cs="Times New Roman"/>
          <w:sz w:val="24"/>
          <w:szCs w:val="24"/>
        </w:rPr>
        <w:t xml:space="preserve">, </w:t>
      </w:r>
      <w:r>
        <w:rPr>
          <w:rFonts w:ascii="Times New Roman" w:hAnsi="Times New Roman" w:cs="Times New Roman"/>
          <w:smallCaps/>
          <w:sz w:val="24"/>
          <w:szCs w:val="24"/>
        </w:rPr>
        <w:t>Canadian Parliamentary Review</w:t>
      </w:r>
      <w:r>
        <w:rPr>
          <w:rFonts w:ascii="Times New Roman" w:hAnsi="Times New Roman" w:cs="Times New Roman"/>
          <w:sz w:val="24"/>
          <w:szCs w:val="24"/>
        </w:rPr>
        <w:t xml:space="preserve"> 31 (2008)</w:t>
      </w:r>
      <w:r>
        <w:rPr>
          <w:rFonts w:ascii="Century" w:hAnsi="Century"/>
          <w:rtl/>
        </w:rPr>
        <w:t>). כך למשל, מכוח חובה זו, בין השאר, הם מנועים מלפעול בניגוד עניינים (כפי שמורה כלל 5 לכללי האתיקה לחברי הכנסת). בידיהם של חברי הכנסת אנו מפקידים את ההחלטות היקרות לנו ביותר, את גורל המדינה כמו גם את גורלנו האישי. הדבר מחייב.</w:t>
      </w:r>
    </w:p>
    <w:p w:rsidR="00B12262" w:rsidRDefault="00B12262" w:rsidP="00B12262">
      <w:pPr>
        <w:pStyle w:val="Ruller40"/>
        <w:rPr>
          <w:rFonts w:ascii="Century" w:hAnsi="Century"/>
          <w:rtl/>
        </w:rPr>
      </w:pPr>
    </w:p>
    <w:p w:rsidR="00B12262" w:rsidRDefault="00B12262" w:rsidP="00B12262">
      <w:pPr>
        <w:pStyle w:val="Ruller40"/>
        <w:rPr>
          <w:rFonts w:ascii="Century" w:hAnsi="Century"/>
          <w:rtl/>
        </w:rPr>
      </w:pPr>
      <w:r>
        <w:rPr>
          <w:rFonts w:ascii="Century" w:hAnsi="Century"/>
          <w:rtl/>
        </w:rPr>
        <w:t xml:space="preserve">18. </w:t>
      </w:r>
      <w:r>
        <w:rPr>
          <w:rFonts w:ascii="Century" w:hAnsi="Century"/>
          <w:rtl/>
        </w:rPr>
        <w:tab/>
        <w:t xml:space="preserve">החלטה על תמיכה במועמד לראשות הממשלה היא החלטה שלא ניתן להפריז בחשיבותה. מעבר לשיקולים הפוליטיים והאידיאולוגיים, בחינת התאמתו של מועמד לראשות הממשלה לתפקידו גם מן הבחינה הערכית והנורמטיבית היא חשובה ורלוונטית. היא מהווה מרכיב חשוב של ההתאמה לתפקיד – הן בפן הסמלי, מבחינת המסר לציבור בכל הנוגע לחשיבות הטמונה בשמירה על עקרון שלטון החוק, והן בפן המעשי, לנוכח ההשלכות האפשריות של התמודדות עם כתב אישום על הפניית תשומת הלב הנדרשת למילוי התפקיד, כמו גם הסכנה של היקלעות למצבים של ניגוד עניינים. הדברים נאמרים במישור העקרוני, ומבלי להתייחס למקרה שבפנינו, שבו כל אחד מן הצדדים טען לגופו של אדם, באופן שהעיב על הדיון. כשם שברי כי על חברי הכנסת לשקול כיצד יגנו על אזרחי ישראל מפני איומים שונים, ביטחוניים, בריאותיים ואחרים, כך מצופה מהם לשקול שיקולים שעניינם שלטון החוק. במובן זה, קיומם של כתבי אישום בעבירות חמורות, לבטח כאשר אלה נסבות על טוהר המידות, הוא בהחלט שיקול שחברי הכנסת צריכים להביא בחשבון כאשר הם ממליצים על מועמד להנהגת המדינה. ואולם, בהתחשב במתחם ההתערבות הצר שצוין לעיל, חובות – לחוד, וסעדים שיפוטיים – לחוד. ברוח זו, כבר נקבע בהקשרים אחרים כי מצען של מפלגות אינו ניתן לאכיפה (ראו: בג"ץ 1661/05 </w:t>
      </w:r>
      <w:r>
        <w:rPr>
          <w:rFonts w:ascii="Century" w:hAnsi="Century" w:cs="Miriam"/>
          <w:b/>
          <w:spacing w:val="0"/>
          <w:szCs w:val="24"/>
          <w:rtl/>
        </w:rPr>
        <w:t>המועצה האזורית חוף עזה ואח' נ' כנסת ישראל ואח</w:t>
      </w:r>
      <w:r>
        <w:rPr>
          <w:rFonts w:ascii="Century" w:hAnsi="Century"/>
          <w:rtl/>
        </w:rPr>
        <w:t>, פ"ד</w:t>
      </w:r>
      <w:r>
        <w:rPr>
          <w:rFonts w:ascii="Century" w:hAnsi="Century"/>
        </w:rPr>
        <w:t xml:space="preserve"> </w:t>
      </w:r>
      <w:r>
        <w:rPr>
          <w:rFonts w:ascii="Century" w:hAnsi="Century"/>
          <w:rtl/>
        </w:rPr>
        <w:t xml:space="preserve">נט(2) 481, 567-566 (2005)). </w:t>
      </w:r>
    </w:p>
    <w:p w:rsidR="00B12262" w:rsidRDefault="00B12262" w:rsidP="00B12262">
      <w:pPr>
        <w:pStyle w:val="Ruller40"/>
        <w:rPr>
          <w:rFonts w:ascii="Century" w:hAnsi="Century"/>
          <w:rtl/>
        </w:rPr>
      </w:pPr>
    </w:p>
    <w:p w:rsidR="00B12262" w:rsidRDefault="00B12262" w:rsidP="00B12262">
      <w:pPr>
        <w:pStyle w:val="Ruller40"/>
        <w:rPr>
          <w:rFonts w:ascii="Century" w:hAnsi="Century" w:cs="Miriam"/>
          <w:b/>
          <w:spacing w:val="0"/>
          <w:szCs w:val="24"/>
          <w:rtl/>
        </w:rPr>
      </w:pPr>
      <w:r>
        <w:rPr>
          <w:rFonts w:ascii="Century" w:hAnsi="Century" w:cs="Miriam"/>
          <w:b/>
          <w:spacing w:val="0"/>
          <w:szCs w:val="24"/>
          <w:rtl/>
        </w:rPr>
        <w:t>ומה מעבר לכנסת?</w:t>
      </w:r>
    </w:p>
    <w:p w:rsidR="00B12262" w:rsidRDefault="00B12262" w:rsidP="00B12262">
      <w:pPr>
        <w:pStyle w:val="Ruller40"/>
        <w:rPr>
          <w:rFonts w:ascii="Century" w:hAnsi="Century"/>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19. </w:t>
      </w:r>
      <w:r>
        <w:rPr>
          <w:rFonts w:ascii="Century" w:hAnsi="Century" w:cs="FrankRuehl"/>
          <w:spacing w:val="10"/>
          <w:szCs w:val="28"/>
          <w:rtl/>
        </w:rPr>
        <w:tab/>
        <w:t xml:space="preserve">אין לקבל אף את טענת העותרים שלפיה ניתן להגיע במקרה זה לתוצאה שונה תוך התמקדות בהחלטותיהם של נשיא המדינה או של המועמד עצמו. </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20. </w:t>
      </w:r>
      <w:r>
        <w:rPr>
          <w:rFonts w:ascii="Century" w:hAnsi="Century" w:cs="FrankRuehl"/>
          <w:spacing w:val="10"/>
          <w:szCs w:val="28"/>
          <w:rtl/>
        </w:rPr>
        <w:tab/>
        <w:t xml:space="preserve">כפי שהסבירה חברתי הנשיאה, הפניית הזרקור אל נשיא המדינה לא הייתה במקומה. מעבר לכך שמדובר בדרך עקיפין מלאכותית, אני סבורה שתפקידו הסמלי והא-פוליטי של הנשיא מחייב להותירו מחוץ לתחום ה"התגוששות" הפוליטית (ראו: חוק יסוד: נשיא המדינה, וכן: בג"ץ 2848/19 </w:t>
      </w:r>
      <w:r>
        <w:rPr>
          <w:rFonts w:ascii="Century" w:hAnsi="Century" w:cs="Miriam"/>
          <w:b/>
          <w:rtl/>
        </w:rPr>
        <w:t>בן-מאיר נ' נתניהו</w:t>
      </w:r>
      <w:r>
        <w:rPr>
          <w:rFonts w:ascii="Century" w:hAnsi="Century" w:cs="FrankRuehl"/>
          <w:spacing w:val="10"/>
          <w:szCs w:val="28"/>
          <w:rtl/>
        </w:rPr>
        <w:t xml:space="preserve">, פסקה 9 (23.4.2019)). </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21. </w:t>
      </w:r>
      <w:r>
        <w:rPr>
          <w:rFonts w:ascii="Century" w:hAnsi="Century" w:cs="FrankRuehl"/>
          <w:spacing w:val="10"/>
          <w:szCs w:val="28"/>
          <w:rtl/>
        </w:rPr>
        <w:tab/>
        <w:t xml:space="preserve">באשר למועמד עצמו, אני נוטה לסבור, בשונה מחבריי, כי אף עליו מוטלת חובה לשקול אם הגשת כתב האישום משליכה על התאמתו לתפקיד. חובה זו – כמו חובתם של חברי הכנסת – שייכת לתחום החוקתי ואינה יכולה להיבחן על-פי אמות מידה רגילות של סבירות. אולם, תמיכתם של חברי הכנסת אינה פוטרת את המועמד עצמו מהחלטה מקדמית אם ראוי שיקבל על עצמו כהונה על רקע "צלו" של כתב אישום חמור. זוהי ציפייה נורמטיבית חשובה, גם אם אינה אכיפה. האפשרות לקבל תפקיד אינה אמורה תמיד להכריע את הכף מבחינתו של המועמד, בבחינת "איזהו גיבור – הכובש את יצרו". בהמשך לכך, דחייתה של הצעה כזו אינה גורעת מזכותו של המועמד לעמוד על חפותו, אלא רק צפויה לבטא את הכרתו במחיר הגבוה הכרוך בכהונה של נאשם בפלילים בתפקיד הרם והנישא של ראש ממשלה, במישור </w:t>
      </w:r>
      <w:r w:rsidR="009A5850">
        <w:rPr>
          <w:rFonts w:ascii="Century" w:hAnsi="Century" w:cs="FrankRuehl"/>
          <w:spacing w:val="10"/>
          <w:szCs w:val="28"/>
          <w:rtl/>
        </w:rPr>
        <w:t>הערכי כמו גם במישור המעשי.</w:t>
      </w:r>
      <w:r>
        <w:rPr>
          <w:rFonts w:ascii="Century" w:hAnsi="Century" w:cs="FrankRuehl"/>
          <w:spacing w:val="10"/>
          <w:szCs w:val="28"/>
          <w:rtl/>
        </w:rPr>
        <w:t xml:space="preserve"> מנקודת מבטי, חשוב לומר כי החלטה של אדם לקבל על עצמו כהונה בתפקיד היא גם החלטה משפטית, ולא רק החלטה אישית – גם אם הביקורת עליה מצומצמת מאחר שאף היא שייכת לשלב התשתיתי של הקמת הממשלה. לשם השוואה, אף במישור המינהלי הרגיל, שאינו חל כאמור בענייננו אך ניתן ללמוד ממנו, כאשר אדם מחליט אם לקבל על עצמו תפקיד עליו לשקול אם הוא נגוע בניגוד עניינים. לא כל שכן כאשר מקבל ההחלטה כבר מכהן בתפקיד של חבר כנסת, כלומר הוא אינו "זר" לזירה הציבורית. </w:t>
      </w:r>
    </w:p>
    <w:p w:rsidR="00B12262" w:rsidRDefault="00B12262" w:rsidP="00B12262">
      <w:pPr>
        <w:pStyle w:val="Ruller40"/>
        <w:rPr>
          <w:rFonts w:ascii="Century" w:hAnsi="Century"/>
          <w:rtl/>
        </w:rPr>
      </w:pPr>
    </w:p>
    <w:p w:rsidR="00B12262" w:rsidRDefault="00B12262" w:rsidP="00B12262">
      <w:pPr>
        <w:pStyle w:val="Ruller40"/>
        <w:rPr>
          <w:rFonts w:ascii="Century" w:hAnsi="Century" w:cs="Miriam"/>
          <w:b/>
          <w:spacing w:val="0"/>
          <w:szCs w:val="24"/>
          <w:rtl/>
        </w:rPr>
      </w:pPr>
      <w:r>
        <w:rPr>
          <w:rFonts w:ascii="Century" w:hAnsi="Century" w:cs="Miriam"/>
          <w:b/>
          <w:spacing w:val="0"/>
          <w:szCs w:val="24"/>
          <w:rtl/>
        </w:rPr>
        <w:t>ומה הלאה?</w:t>
      </w:r>
    </w:p>
    <w:p w:rsidR="00B12262" w:rsidRDefault="00B12262" w:rsidP="00B12262">
      <w:pPr>
        <w:pStyle w:val="Ruller40"/>
        <w:rPr>
          <w:rFonts w:ascii="Century" w:hAnsi="Century" w:cs="Miriam"/>
          <w:sz w:val="24"/>
          <w:szCs w:val="24"/>
          <w:rtl/>
        </w:rPr>
      </w:pPr>
    </w:p>
    <w:p w:rsidR="00B12262" w:rsidRDefault="00B12262" w:rsidP="00B12262">
      <w:pPr>
        <w:spacing w:line="360" w:lineRule="auto"/>
        <w:jc w:val="both"/>
        <w:rPr>
          <w:rFonts w:ascii="Century" w:hAnsi="Century" w:cs="FrankRuehl"/>
          <w:spacing w:val="10"/>
          <w:szCs w:val="28"/>
          <w:rtl/>
        </w:rPr>
      </w:pPr>
      <w:r>
        <w:rPr>
          <w:rFonts w:ascii="Century" w:hAnsi="Century" w:cs="FrankRuehl"/>
          <w:spacing w:val="10"/>
          <w:szCs w:val="28"/>
          <w:rtl/>
        </w:rPr>
        <w:t xml:space="preserve">22. </w:t>
      </w:r>
      <w:r>
        <w:rPr>
          <w:rFonts w:ascii="Century" w:hAnsi="Century" w:cs="FrankRuehl"/>
          <w:spacing w:val="10"/>
          <w:szCs w:val="28"/>
          <w:rtl/>
        </w:rPr>
        <w:tab/>
        <w:t xml:space="preserve">לקראת סופו של הדיון, אני מבקשת לחזור לנקודת ההתחלה. דחייתה של עתירה לבג"ץ נגד החלטה שלטונית מתפרשת לא אחת כ"אישור" או "הכשר" להחלטה שהתקבלה. ולא היא. הדרך הנכונה להבין דחייתה של עתירה היא העדרה של עילה משפטית להתערבות בה. הא – ותו לא. כפי שציין הנשיא </w:t>
      </w:r>
      <w:r>
        <w:rPr>
          <w:rFonts w:ascii="Century" w:hAnsi="Century" w:cs="Miriam"/>
          <w:b/>
          <w:rtl/>
        </w:rPr>
        <w:t>מ' שמגר</w:t>
      </w:r>
      <w:r>
        <w:rPr>
          <w:rFonts w:ascii="Century" w:hAnsi="Century" w:cs="FrankRuehl"/>
          <w:spacing w:val="10"/>
          <w:szCs w:val="28"/>
          <w:rtl/>
        </w:rPr>
        <w:t xml:space="preserve"> לפני שנים רבות: "משנפלה ההכרעה השיפוטית.... עלולה להתגבש המסקנה, כי הכול שפיר, למרות שההחלטה לגופה רחוקה מכך" (ראו: בג"ץ 910/86 </w:t>
      </w:r>
      <w:r>
        <w:rPr>
          <w:rFonts w:ascii="Century" w:hAnsi="Century" w:cs="Miriam"/>
          <w:b/>
          <w:rtl/>
        </w:rPr>
        <w:t>רסלר נ' שר הביטחון</w:t>
      </w:r>
      <w:r>
        <w:rPr>
          <w:rFonts w:ascii="Century" w:hAnsi="Century" w:cs="FrankRuehl"/>
          <w:spacing w:val="10"/>
          <w:szCs w:val="28"/>
          <w:rtl/>
        </w:rPr>
        <w:t>, פ"ד מב(2) 441, 520 (1988)).</w:t>
      </w:r>
    </w:p>
    <w:p w:rsidR="00B12262" w:rsidRDefault="00B12262" w:rsidP="00B12262">
      <w:pPr>
        <w:spacing w:line="360" w:lineRule="auto"/>
        <w:jc w:val="both"/>
        <w:rPr>
          <w:rFonts w:ascii="Century" w:hAnsi="Century" w:cs="FrankRuehl"/>
          <w:spacing w:val="10"/>
          <w:szCs w:val="28"/>
          <w:rtl/>
        </w:rPr>
      </w:pPr>
    </w:p>
    <w:p w:rsidR="00B12262" w:rsidRDefault="00B12262" w:rsidP="00B12262">
      <w:pPr>
        <w:spacing w:line="360" w:lineRule="auto"/>
        <w:jc w:val="both"/>
        <w:rPr>
          <w:rFonts w:ascii="Century" w:hAnsi="Century" w:cs="FrankRuehl"/>
          <w:spacing w:val="10"/>
          <w:szCs w:val="28"/>
        </w:rPr>
      </w:pPr>
      <w:r>
        <w:rPr>
          <w:rFonts w:ascii="Century" w:hAnsi="Century" w:cs="FrankRuehl"/>
          <w:spacing w:val="10"/>
          <w:szCs w:val="28"/>
          <w:rtl/>
        </w:rPr>
        <w:t xml:space="preserve">23. </w:t>
      </w:r>
      <w:r>
        <w:rPr>
          <w:rFonts w:ascii="Century" w:hAnsi="Century" w:cs="FrankRuehl"/>
          <w:spacing w:val="10"/>
          <w:szCs w:val="28"/>
          <w:rtl/>
        </w:rPr>
        <w:tab/>
        <w:t xml:space="preserve">וכעת במבט הצופה פני עתיד. כפי שציינתי לעיל, מעל הדיון שבפנינו ריחף כל העת הצל הנוגע לכך שלכל המתדיינים הייתה לא רק עמדה עקרונית, אלא גם עמדה ביחס להקמת ממשלה בראשותו של מועמד מסוים. במצב כזה, לעולם קיימת סכנה שהדיון יתפרש שלא כהלכה ככזה שעוסק באדם, להבדיל מאשר בפן העקרוני של הדברים. על מנת למנוע הישנותה של בעיה מסוג זה בעתיד, וברוח דבריו של חברי השופט </w:t>
      </w:r>
      <w:r>
        <w:rPr>
          <w:rFonts w:ascii="Century" w:hAnsi="Century" w:cs="Miriam"/>
          <w:b/>
          <w:rtl/>
        </w:rPr>
        <w:t>מינץ</w:t>
      </w:r>
      <w:r>
        <w:rPr>
          <w:rFonts w:ascii="Century" w:hAnsi="Century" w:cs="FrankRuehl"/>
          <w:spacing w:val="10"/>
          <w:szCs w:val="28"/>
          <w:rtl/>
        </w:rPr>
        <w:t xml:space="preserve"> בסיפא של חוות דעתו, טוב יהא אם המצב המשפטי בסוגיה שבמחלוקת יובהר באמצעות תיקון מתאים לחוק יסוד: הממשלה. החלה של תיקון כזה באופן שצופה פני עתיד בלבד</w:t>
      </w:r>
      <w:r>
        <w:rPr>
          <w:rFonts w:ascii="Century" w:hAnsi="Century" w:cs="FrankRuehl"/>
          <w:spacing w:val="10"/>
          <w:szCs w:val="28"/>
        </w:rPr>
        <w:t xml:space="preserve"> </w:t>
      </w:r>
      <w:r>
        <w:rPr>
          <w:rFonts w:ascii="Century" w:hAnsi="Century" w:cs="FrankRuehl"/>
          <w:spacing w:val="10"/>
          <w:szCs w:val="28"/>
          <w:rtl/>
        </w:rPr>
        <w:t xml:space="preserve">(למען ניקיון הדעת – שלא ביחס לכתבי אישום קיימים) – יכולה להעביר מסר ערכי חשוב מבלי שהדבר יהיה כרוך בהכרעה בגורלו של אדם מסוים או יתפרש כ"לקיחת צד" בזירה הציבורית. מכל מקום, אף ללא תיקון כזה, ניתן לצפות ולקוות שחברי הכנסת יביאו בחשבון גם שיקולים ערכיים הנוגעים להתאמתו של מועמד לתפקיד ראש הממשלה. ההתחשבות בכך היא חלק ממערכת הערכים של המשפט הישראלי והחברה הישראלית כולה. </w:t>
      </w:r>
    </w:p>
    <w:p w:rsidR="00B12262" w:rsidRDefault="00B12262" w:rsidP="00B12262">
      <w:pPr>
        <w:spacing w:line="360" w:lineRule="auto"/>
        <w:jc w:val="both"/>
        <w:rPr>
          <w:rFonts w:ascii="Century" w:hAnsi="Century" w:cs="FrankRuehl"/>
          <w:spacing w:val="10"/>
          <w:szCs w:val="28"/>
          <w:rtl/>
        </w:rPr>
      </w:pPr>
    </w:p>
    <w:tbl>
      <w:tblPr>
        <w:bidiVisual/>
        <w:tblW w:w="8363" w:type="dxa"/>
        <w:tblLook w:val="01E0" w:firstRow="1" w:lastRow="1" w:firstColumn="1" w:lastColumn="1" w:noHBand="0" w:noVBand="0"/>
      </w:tblPr>
      <w:tblGrid>
        <w:gridCol w:w="2786"/>
        <w:gridCol w:w="2787"/>
        <w:gridCol w:w="2790"/>
      </w:tblGrid>
      <w:tr w:rsidR="00E90B83" w:rsidRPr="000A1340" w:rsidTr="00B12262">
        <w:tc>
          <w:tcPr>
            <w:tcW w:w="2786" w:type="dxa"/>
            <w:hideMark/>
          </w:tcPr>
          <w:p w:rsidR="00E90B83" w:rsidRPr="000A1340" w:rsidRDefault="00E90B83" w:rsidP="008835E9">
            <w:pPr>
              <w:pStyle w:val="Ruller40"/>
            </w:pPr>
          </w:p>
        </w:tc>
        <w:tc>
          <w:tcPr>
            <w:tcW w:w="2787" w:type="dxa"/>
            <w:hideMark/>
          </w:tcPr>
          <w:p w:rsidR="00E90B83" w:rsidRPr="000A1340" w:rsidRDefault="00E90B83" w:rsidP="008835E9">
            <w:pPr>
              <w:pStyle w:val="Ruller40"/>
              <w:jc w:val="center"/>
              <w:rPr>
                <w:rtl/>
              </w:rPr>
            </w:pPr>
          </w:p>
        </w:tc>
        <w:tc>
          <w:tcPr>
            <w:tcW w:w="2790" w:type="dxa"/>
            <w:hideMark/>
          </w:tcPr>
          <w:p w:rsidR="00E90B83" w:rsidRPr="000A1340" w:rsidRDefault="00E90B83" w:rsidP="008835E9">
            <w:pPr>
              <w:pStyle w:val="Ruller40"/>
              <w:jc w:val="center"/>
              <w:rPr>
                <w:rtl/>
              </w:rPr>
            </w:pPr>
            <w:r w:rsidRPr="000A1340">
              <w:rPr>
                <w:rtl/>
              </w:rPr>
              <w:t xml:space="preserve">ש ו פ ט </w:t>
            </w:r>
            <w:r w:rsidR="00B12262">
              <w:rPr>
                <w:rFonts w:hint="cs"/>
                <w:rtl/>
              </w:rPr>
              <w:t>ת</w:t>
            </w:r>
          </w:p>
        </w:tc>
      </w:tr>
    </w:tbl>
    <w:p w:rsidR="008D6C61" w:rsidRDefault="008D6C61" w:rsidP="004855BB">
      <w:pPr>
        <w:pStyle w:val="BODYVERDICT"/>
        <w:rPr>
          <w:rFonts w:cs="Miriam"/>
          <w:sz w:val="24"/>
          <w:szCs w:val="24"/>
          <w:u w:val="single"/>
          <w:rtl/>
        </w:rPr>
      </w:pPr>
    </w:p>
    <w:p w:rsidR="008D6C61" w:rsidRDefault="008D6C61" w:rsidP="004855BB">
      <w:pPr>
        <w:pStyle w:val="BODYVERDICT"/>
        <w:rPr>
          <w:rFonts w:cs="Miriam"/>
          <w:sz w:val="24"/>
          <w:szCs w:val="24"/>
          <w:u w:val="single"/>
          <w:rtl/>
        </w:rPr>
      </w:pPr>
    </w:p>
    <w:p w:rsidR="008D6C61" w:rsidRDefault="008D6C61" w:rsidP="004855BB">
      <w:pPr>
        <w:pStyle w:val="BODYVERDICT"/>
        <w:rPr>
          <w:rFonts w:cs="Miriam"/>
          <w:sz w:val="24"/>
          <w:szCs w:val="24"/>
          <w:u w:val="single"/>
          <w:rtl/>
        </w:rPr>
      </w:pPr>
    </w:p>
    <w:p w:rsidR="004855BB" w:rsidRPr="00503A3E" w:rsidRDefault="004855BB" w:rsidP="004855BB">
      <w:pPr>
        <w:pStyle w:val="BODYVERDICT"/>
        <w:rPr>
          <w:rFonts w:cs="Miriam"/>
          <w:sz w:val="24"/>
          <w:szCs w:val="24"/>
          <w:u w:val="single"/>
          <w:rtl/>
        </w:rPr>
      </w:pPr>
      <w:r>
        <w:rPr>
          <w:rFonts w:cs="Miriam"/>
          <w:sz w:val="24"/>
          <w:szCs w:val="24"/>
          <w:u w:val="single"/>
          <w:rtl/>
        </w:rPr>
        <w:t>השופט מ' מזוז:</w:t>
      </w:r>
    </w:p>
    <w:p w:rsidR="004855BB" w:rsidRPr="00092AAE" w:rsidRDefault="004855BB" w:rsidP="004855BB">
      <w:pPr>
        <w:pStyle w:val="Ruller40"/>
        <w:rPr>
          <w:rFonts w:ascii="Century" w:hAnsi="Century" w:cs="Miriam"/>
          <w:b/>
          <w:sz w:val="24"/>
          <w:rtl/>
        </w:rPr>
      </w:pPr>
    </w:p>
    <w:p w:rsidR="004855BB" w:rsidRPr="005C275F" w:rsidRDefault="004855BB" w:rsidP="004855BB">
      <w:pPr>
        <w:pStyle w:val="Ruller4"/>
        <w:numPr>
          <w:ilvl w:val="0"/>
          <w:numId w:val="0"/>
        </w:numPr>
        <w:rPr>
          <w:rFonts w:ascii="Century" w:hAnsi="Century"/>
          <w:sz w:val="22"/>
          <w:rtl/>
        </w:rPr>
      </w:pPr>
      <w:r w:rsidRPr="005C275F">
        <w:rPr>
          <w:rFonts w:ascii="Century" w:hAnsi="Century"/>
          <w:sz w:val="22"/>
          <w:rtl/>
        </w:rPr>
        <w:tab/>
      </w:r>
      <w:r>
        <w:rPr>
          <w:rFonts w:ascii="Century" w:hAnsi="Century" w:hint="cs"/>
          <w:sz w:val="22"/>
          <w:rtl/>
        </w:rPr>
        <w:t xml:space="preserve">כמצוין בתמצית הנימוקים לפסק דיננו מיום 6.5.2020, אני מצטרף לחוות דעתה של </w:t>
      </w:r>
      <w:r w:rsidRPr="005C275F">
        <w:rPr>
          <w:rFonts w:ascii="Century" w:hAnsi="Century" w:hint="cs"/>
          <w:sz w:val="22"/>
          <w:rtl/>
        </w:rPr>
        <w:t xml:space="preserve">חברתי הנשיאה </w:t>
      </w:r>
      <w:r w:rsidRPr="00C725F2">
        <w:rPr>
          <w:rFonts w:ascii="Century" w:hAnsi="Century" w:cs="Miriam" w:hint="cs"/>
          <w:b/>
          <w:spacing w:val="0"/>
          <w:sz w:val="22"/>
          <w:szCs w:val="24"/>
          <w:rtl/>
        </w:rPr>
        <w:t>א' חיות</w:t>
      </w:r>
      <w:r w:rsidRPr="005C275F">
        <w:rPr>
          <w:rFonts w:ascii="Century" w:hAnsi="Century" w:hint="cs"/>
          <w:sz w:val="22"/>
          <w:rtl/>
        </w:rPr>
        <w:t>. להלן אוסיף אך מספ</w:t>
      </w:r>
      <w:r>
        <w:rPr>
          <w:rFonts w:ascii="Century" w:hAnsi="Century" w:hint="cs"/>
          <w:sz w:val="22"/>
          <w:rtl/>
        </w:rPr>
        <w:t>ר</w:t>
      </w:r>
      <w:r w:rsidRPr="005C275F">
        <w:rPr>
          <w:rFonts w:ascii="Century" w:hAnsi="Century" w:hint="cs"/>
          <w:sz w:val="22"/>
          <w:rtl/>
        </w:rPr>
        <w:t xml:space="preserve"> הערות קצרות להבהרת עמדתי.</w:t>
      </w:r>
    </w:p>
    <w:p w:rsidR="004855BB" w:rsidRPr="005C275F" w:rsidRDefault="004855BB" w:rsidP="004855BB">
      <w:pPr>
        <w:pStyle w:val="Ruller4"/>
        <w:numPr>
          <w:ilvl w:val="0"/>
          <w:numId w:val="0"/>
        </w:numPr>
        <w:rPr>
          <w:rFonts w:ascii="Century" w:hAnsi="Century"/>
          <w:sz w:val="22"/>
          <w:rtl/>
        </w:rPr>
      </w:pPr>
      <w:r w:rsidRPr="005C275F">
        <w:rPr>
          <w:rFonts w:ascii="Century" w:hAnsi="Century" w:hint="cs"/>
          <w:sz w:val="22"/>
          <w:rtl/>
        </w:rPr>
        <w:t xml:space="preserve"> </w:t>
      </w:r>
    </w:p>
    <w:p w:rsidR="004855BB" w:rsidRPr="004855BB" w:rsidRDefault="004855BB" w:rsidP="004855BB">
      <w:pPr>
        <w:pStyle w:val="Ruller4"/>
        <w:numPr>
          <w:ilvl w:val="0"/>
          <w:numId w:val="15"/>
        </w:numPr>
        <w:overflowPunct/>
        <w:autoSpaceDE/>
        <w:autoSpaceDN/>
        <w:adjustRightInd/>
        <w:textAlignment w:val="auto"/>
        <w:rPr>
          <w:rFonts w:ascii="Century" w:hAnsi="Century"/>
          <w:sz w:val="22"/>
        </w:rPr>
      </w:pPr>
      <w:r w:rsidRPr="004855BB">
        <w:rPr>
          <w:rFonts w:ascii="Century" w:hAnsi="Century"/>
          <w:sz w:val="22"/>
          <w:rtl/>
        </w:rPr>
        <w:t xml:space="preserve">הסכמתי </w:t>
      </w:r>
      <w:r w:rsidRPr="004855BB">
        <w:rPr>
          <w:rFonts w:ascii="Century" w:hAnsi="Century" w:hint="cs"/>
          <w:sz w:val="22"/>
          <w:rtl/>
        </w:rPr>
        <w:t>זו עם התוצאה אליה הגענו, כמפורט בתמצית הנימוקים,</w:t>
      </w:r>
      <w:r w:rsidRPr="004855BB">
        <w:rPr>
          <w:rFonts w:ascii="Century" w:hAnsi="Century"/>
          <w:sz w:val="22"/>
          <w:rtl/>
        </w:rPr>
        <w:t xml:space="preserve"> לא </w:t>
      </w:r>
      <w:r w:rsidRPr="004855BB">
        <w:rPr>
          <w:rFonts w:ascii="Century" w:hAnsi="Century" w:hint="cs"/>
          <w:sz w:val="22"/>
          <w:rtl/>
        </w:rPr>
        <w:t xml:space="preserve">ניתנה </w:t>
      </w:r>
      <w:r w:rsidRPr="004855BB">
        <w:rPr>
          <w:rFonts w:ascii="Century" w:hAnsi="Century"/>
          <w:sz w:val="22"/>
          <w:rtl/>
        </w:rPr>
        <w:t>בלב קל</w:t>
      </w:r>
      <w:r w:rsidRPr="004855BB">
        <w:rPr>
          <w:rFonts w:ascii="Century" w:hAnsi="Century" w:hint="cs"/>
          <w:sz w:val="22"/>
          <w:rtl/>
        </w:rPr>
        <w:t>, אך אני שלם עמה</w:t>
      </w:r>
      <w:r w:rsidRPr="004855BB">
        <w:rPr>
          <w:rFonts w:ascii="Century" w:hAnsi="Century"/>
          <w:sz w:val="22"/>
          <w:rtl/>
        </w:rPr>
        <w:t xml:space="preserve">. </w:t>
      </w:r>
      <w:r w:rsidRPr="004855BB">
        <w:rPr>
          <w:rFonts w:ascii="Century" w:hAnsi="Century" w:hint="cs"/>
          <w:sz w:val="22"/>
          <w:rtl/>
        </w:rPr>
        <w:t xml:space="preserve">אכן, </w:t>
      </w:r>
      <w:r w:rsidRPr="004855BB">
        <w:rPr>
          <w:rFonts w:ascii="Century" w:hAnsi="Century"/>
          <w:sz w:val="22"/>
          <w:rtl/>
        </w:rPr>
        <w:t>המציאות בה נאשם</w:t>
      </w:r>
      <w:r w:rsidRPr="004855BB">
        <w:rPr>
          <w:rFonts w:ascii="Century" w:hAnsi="Century" w:hint="cs"/>
          <w:sz w:val="22"/>
          <w:rtl/>
        </w:rPr>
        <w:t xml:space="preserve"> בפלילים בעבירות חמורות מתחום טוהר המידות</w:t>
      </w:r>
      <w:r w:rsidRPr="004855BB">
        <w:rPr>
          <w:rFonts w:ascii="Century" w:hAnsi="Century"/>
          <w:sz w:val="22"/>
          <w:rtl/>
        </w:rPr>
        <w:t xml:space="preserve"> מקים ממשלה ועומד בראשה</w:t>
      </w:r>
      <w:r w:rsidRPr="004855BB">
        <w:rPr>
          <w:rFonts w:ascii="Century" w:hAnsi="Century" w:hint="cs"/>
          <w:sz w:val="22"/>
          <w:rtl/>
        </w:rPr>
        <w:t>,</w:t>
      </w:r>
      <w:r w:rsidRPr="004855BB">
        <w:rPr>
          <w:rFonts w:ascii="Century" w:hAnsi="Century"/>
          <w:sz w:val="22"/>
          <w:rtl/>
        </w:rPr>
        <w:t xml:space="preserve"> מעוררת קושי ציבורי-מוסרי</w:t>
      </w:r>
      <w:r w:rsidRPr="004855BB">
        <w:rPr>
          <w:rFonts w:ascii="Century" w:hAnsi="Century" w:hint="cs"/>
          <w:sz w:val="22"/>
          <w:rtl/>
        </w:rPr>
        <w:t xml:space="preserve"> </w:t>
      </w:r>
      <w:r w:rsidRPr="004855BB">
        <w:rPr>
          <w:rFonts w:ascii="Century" w:hAnsi="Century"/>
          <w:sz w:val="22"/>
          <w:rtl/>
        </w:rPr>
        <w:t xml:space="preserve">שקשה להפריז בעוצמתו. מציאות כזו משקפת </w:t>
      </w:r>
      <w:r w:rsidRPr="004855BB">
        <w:rPr>
          <w:rFonts w:ascii="Century" w:hAnsi="Century" w:hint="cs"/>
          <w:sz w:val="22"/>
          <w:rtl/>
        </w:rPr>
        <w:t>משבר חברתי ו</w:t>
      </w:r>
      <w:r w:rsidRPr="004855BB">
        <w:rPr>
          <w:rFonts w:ascii="Century" w:hAnsi="Century"/>
          <w:sz w:val="22"/>
          <w:rtl/>
        </w:rPr>
        <w:t>כשל מוסרי</w:t>
      </w:r>
      <w:r w:rsidRPr="004855BB">
        <w:rPr>
          <w:rFonts w:ascii="Century" w:hAnsi="Century" w:hint="cs"/>
          <w:sz w:val="22"/>
          <w:rtl/>
        </w:rPr>
        <w:t xml:space="preserve"> </w:t>
      </w:r>
      <w:r w:rsidRPr="004855BB">
        <w:rPr>
          <w:rFonts w:ascii="Century" w:hAnsi="Century"/>
          <w:sz w:val="22"/>
          <w:rtl/>
        </w:rPr>
        <w:t>של החברה ושל המערכת הפוליט</w:t>
      </w:r>
      <w:r w:rsidRPr="004855BB">
        <w:rPr>
          <w:rFonts w:ascii="Century" w:hAnsi="Century" w:hint="cs"/>
          <w:sz w:val="22"/>
          <w:rtl/>
        </w:rPr>
        <w:t>ית</w:t>
      </w:r>
      <w:r w:rsidRPr="004855BB">
        <w:rPr>
          <w:rFonts w:ascii="Century" w:hAnsi="Century"/>
          <w:sz w:val="22"/>
          <w:rtl/>
        </w:rPr>
        <w:t xml:space="preserve"> </w:t>
      </w:r>
      <w:r w:rsidRPr="004855BB">
        <w:rPr>
          <w:rFonts w:ascii="Century" w:hAnsi="Century" w:hint="cs"/>
          <w:sz w:val="22"/>
          <w:rtl/>
        </w:rPr>
        <w:t>ב</w:t>
      </w:r>
      <w:r w:rsidRPr="004855BB">
        <w:rPr>
          <w:rFonts w:ascii="Century" w:hAnsi="Century"/>
          <w:sz w:val="22"/>
          <w:rtl/>
        </w:rPr>
        <w:t>ישראל</w:t>
      </w:r>
      <w:r w:rsidRPr="004855BB">
        <w:rPr>
          <w:rFonts w:ascii="Century" w:hAnsi="Century" w:hint="cs"/>
          <w:sz w:val="22"/>
          <w:rtl/>
        </w:rPr>
        <w:t>.</w:t>
      </w:r>
    </w:p>
    <w:p w:rsidR="004855BB" w:rsidRPr="005C275F" w:rsidRDefault="004855BB" w:rsidP="004855BB">
      <w:pPr>
        <w:pStyle w:val="Ruller4"/>
        <w:numPr>
          <w:ilvl w:val="0"/>
          <w:numId w:val="0"/>
        </w:numPr>
        <w:rPr>
          <w:rFonts w:ascii="Century" w:hAnsi="Century"/>
          <w:sz w:val="22"/>
          <w:rtl/>
        </w:rPr>
      </w:pPr>
    </w:p>
    <w:p w:rsidR="004855BB" w:rsidRDefault="004855BB" w:rsidP="004855BB">
      <w:pPr>
        <w:pStyle w:val="Ruller4"/>
        <w:numPr>
          <w:ilvl w:val="0"/>
          <w:numId w:val="0"/>
        </w:numPr>
        <w:rPr>
          <w:rFonts w:ascii="Century" w:hAnsi="Century"/>
          <w:sz w:val="22"/>
        </w:rPr>
      </w:pPr>
      <w:r w:rsidRPr="005C275F">
        <w:rPr>
          <w:rFonts w:ascii="Century" w:hAnsi="Century"/>
          <w:sz w:val="22"/>
          <w:rtl/>
        </w:rPr>
        <w:tab/>
      </w:r>
      <w:r w:rsidRPr="005C275F">
        <w:rPr>
          <w:rFonts w:ascii="Century" w:hAnsi="Century" w:hint="cs"/>
          <w:sz w:val="22"/>
          <w:rtl/>
        </w:rPr>
        <w:t xml:space="preserve">ואולם, </w:t>
      </w:r>
      <w:r w:rsidRPr="005C275F">
        <w:rPr>
          <w:rFonts w:ascii="Century" w:hAnsi="Century"/>
          <w:sz w:val="22"/>
          <w:rtl/>
        </w:rPr>
        <w:t xml:space="preserve">בית המשפט </w:t>
      </w:r>
      <w:r w:rsidRPr="005C275F">
        <w:rPr>
          <w:rFonts w:ascii="Century" w:hAnsi="Century" w:hint="cs"/>
          <w:sz w:val="22"/>
          <w:rtl/>
        </w:rPr>
        <w:t>אינו</w:t>
      </w:r>
      <w:r w:rsidRPr="005C275F">
        <w:rPr>
          <w:rFonts w:ascii="Century" w:hAnsi="Century"/>
          <w:sz w:val="22"/>
          <w:rtl/>
        </w:rPr>
        <w:t xml:space="preserve"> יכול להחליף את תפקיד הציבור והמערכת הפוליטית אל מול מציאות כזו. </w:t>
      </w:r>
    </w:p>
    <w:p w:rsidR="004855BB" w:rsidRDefault="004855BB" w:rsidP="004855BB">
      <w:pPr>
        <w:pStyle w:val="Ruller4"/>
        <w:numPr>
          <w:ilvl w:val="0"/>
          <w:numId w:val="0"/>
        </w:numPr>
        <w:rPr>
          <w:rFonts w:ascii="Century" w:hAnsi="Century"/>
          <w:sz w:val="22"/>
          <w:rtl/>
        </w:rPr>
      </w:pPr>
    </w:p>
    <w:p w:rsidR="004855BB" w:rsidRDefault="004855BB" w:rsidP="004855BB">
      <w:pPr>
        <w:pStyle w:val="Ruller4"/>
        <w:overflowPunct/>
        <w:autoSpaceDE/>
        <w:autoSpaceDN/>
        <w:adjustRightInd/>
        <w:textAlignment w:val="auto"/>
        <w:rPr>
          <w:rFonts w:ascii="Century" w:hAnsi="Century"/>
          <w:sz w:val="22"/>
          <w:rtl/>
        </w:rPr>
      </w:pPr>
      <w:r>
        <w:rPr>
          <w:rFonts w:ascii="Century" w:hAnsi="Century"/>
          <w:sz w:val="22"/>
          <w:rtl/>
        </w:rPr>
        <w:tab/>
      </w:r>
      <w:r w:rsidRPr="00CE21C9">
        <w:rPr>
          <w:rFonts w:ascii="Century" w:hAnsi="Century" w:hint="cs"/>
          <w:sz w:val="22"/>
          <w:rtl/>
        </w:rPr>
        <w:t>בהזדמנויות שונות בעבר</w:t>
      </w:r>
      <w:r>
        <w:rPr>
          <w:rFonts w:ascii="Century" w:hAnsi="Century" w:hint="cs"/>
          <w:sz w:val="22"/>
          <w:rtl/>
        </w:rPr>
        <w:t>, בעת כהונתי כיועץ המשפטי לממשלה,</w:t>
      </w:r>
      <w:r w:rsidRPr="00CE21C9">
        <w:rPr>
          <w:rFonts w:ascii="Century" w:hAnsi="Century" w:hint="cs"/>
          <w:sz w:val="22"/>
          <w:rtl/>
        </w:rPr>
        <w:t xml:space="preserve"> עמדתי על כך כי אין לראות במשפט את חזות הכל</w:t>
      </w:r>
      <w:r>
        <w:rPr>
          <w:rFonts w:ascii="Century" w:hAnsi="Century" w:hint="cs"/>
          <w:sz w:val="22"/>
          <w:rtl/>
        </w:rPr>
        <w:t>,</w:t>
      </w:r>
      <w:r w:rsidRPr="00CE21C9">
        <w:rPr>
          <w:rFonts w:ascii="Century" w:hAnsi="Century" w:hint="cs"/>
          <w:sz w:val="22"/>
          <w:rtl/>
        </w:rPr>
        <w:t xml:space="preserve"> וכי לצד המשפט יש מקום </w:t>
      </w:r>
      <w:r>
        <w:rPr>
          <w:rFonts w:ascii="Century" w:hAnsi="Century" w:hint="cs"/>
          <w:sz w:val="22"/>
          <w:rtl/>
        </w:rPr>
        <w:t xml:space="preserve">גם </w:t>
      </w:r>
      <w:r w:rsidRPr="00CE21C9">
        <w:rPr>
          <w:rFonts w:ascii="Century" w:hAnsi="Century" w:hint="cs"/>
          <w:sz w:val="22"/>
          <w:rtl/>
        </w:rPr>
        <w:t xml:space="preserve">לנורמות </w:t>
      </w:r>
      <w:r>
        <w:rPr>
          <w:rFonts w:ascii="Century" w:hAnsi="Century" w:hint="cs"/>
          <w:sz w:val="22"/>
          <w:rtl/>
        </w:rPr>
        <w:t xml:space="preserve">חברתיות-ציבוריות-אתיות. </w:t>
      </w:r>
      <w:r w:rsidRPr="00253A12">
        <w:rPr>
          <w:rFonts w:ascii="Century" w:hAnsi="Century" w:hint="cs"/>
          <w:sz w:val="22"/>
          <w:rtl/>
        </w:rPr>
        <w:t>חברה מתוקנת היא חברה המבוססת על מערכת רב-רבדית של נורמות ומערכות בקרה ותיקון. יש את המשפט</w:t>
      </w:r>
      <w:r>
        <w:rPr>
          <w:rFonts w:ascii="Century" w:hAnsi="Century" w:hint="cs"/>
          <w:sz w:val="22"/>
          <w:rtl/>
        </w:rPr>
        <w:t>, ו</w:t>
      </w:r>
      <w:r w:rsidRPr="00253A12">
        <w:rPr>
          <w:rFonts w:ascii="Century" w:hAnsi="Century" w:hint="cs"/>
          <w:sz w:val="22"/>
          <w:rtl/>
        </w:rPr>
        <w:t xml:space="preserve">יש את </w:t>
      </w:r>
      <w:r>
        <w:rPr>
          <w:rFonts w:ascii="Century" w:hAnsi="Century" w:hint="cs"/>
          <w:sz w:val="22"/>
          <w:rtl/>
        </w:rPr>
        <w:t>"</w:t>
      </w:r>
      <w:r w:rsidRPr="00253A12">
        <w:rPr>
          <w:rFonts w:ascii="Century" w:hAnsi="Century" w:hint="cs"/>
          <w:sz w:val="22"/>
          <w:rtl/>
        </w:rPr>
        <w:t>משפט הציבור</w:t>
      </w:r>
      <w:r>
        <w:rPr>
          <w:rFonts w:ascii="Century" w:hAnsi="Century" w:hint="cs"/>
          <w:sz w:val="22"/>
          <w:rtl/>
        </w:rPr>
        <w:t>";</w:t>
      </w:r>
      <w:r w:rsidRPr="00253A12">
        <w:rPr>
          <w:rFonts w:ascii="Century" w:hAnsi="Century" w:hint="cs"/>
          <w:sz w:val="22"/>
          <w:rtl/>
        </w:rPr>
        <w:t xml:space="preserve"> יש אתיקה</w:t>
      </w:r>
      <w:r w:rsidRPr="005A1542">
        <w:rPr>
          <w:rFonts w:ascii="Century" w:hAnsi="Century" w:hint="cs"/>
          <w:sz w:val="22"/>
          <w:rtl/>
        </w:rPr>
        <w:t xml:space="preserve"> </w:t>
      </w:r>
      <w:r w:rsidRPr="00CE21C9">
        <w:rPr>
          <w:rFonts w:ascii="Century" w:hAnsi="Century" w:hint="cs"/>
          <w:sz w:val="22"/>
          <w:rtl/>
        </w:rPr>
        <w:t>ציבורית של "לא ייעשה כן במקומנו" (</w:t>
      </w:r>
      <w:r w:rsidRPr="00E52A0A">
        <w:rPr>
          <w:rFonts w:ascii="Calibri" w:hAnsi="Calibri" w:cs="Calibri"/>
          <w:szCs w:val="32"/>
        </w:rPr>
        <w:t>it isn't done</w:t>
      </w:r>
      <w:r w:rsidRPr="00CE21C9">
        <w:rPr>
          <w:rFonts w:ascii="Century" w:hAnsi="Century" w:hint="cs"/>
          <w:sz w:val="22"/>
          <w:rtl/>
        </w:rPr>
        <w:t>)</w:t>
      </w:r>
      <w:r>
        <w:rPr>
          <w:rFonts w:ascii="Century" w:hAnsi="Century" w:hint="cs"/>
          <w:sz w:val="22"/>
          <w:rtl/>
        </w:rPr>
        <w:t>,</w:t>
      </w:r>
      <w:r w:rsidRPr="00253A12">
        <w:rPr>
          <w:rFonts w:ascii="Century" w:hAnsi="Century" w:hint="cs"/>
          <w:sz w:val="22"/>
          <w:rtl/>
        </w:rPr>
        <w:t xml:space="preserve"> </w:t>
      </w:r>
      <w:r>
        <w:rPr>
          <w:rFonts w:ascii="Century" w:hAnsi="Century" w:hint="cs"/>
          <w:sz w:val="22"/>
          <w:rtl/>
        </w:rPr>
        <w:t>ו</w:t>
      </w:r>
      <w:r w:rsidRPr="00253A12">
        <w:rPr>
          <w:rFonts w:ascii="Century" w:hAnsi="Century" w:hint="cs"/>
          <w:sz w:val="22"/>
          <w:rtl/>
        </w:rPr>
        <w:t>יש פוליטיקה</w:t>
      </w:r>
      <w:r>
        <w:rPr>
          <w:rFonts w:ascii="Century" w:hAnsi="Century" w:hint="cs"/>
          <w:sz w:val="22"/>
          <w:rtl/>
        </w:rPr>
        <w:t>;</w:t>
      </w:r>
      <w:r w:rsidRPr="00253A12">
        <w:rPr>
          <w:rFonts w:ascii="Century" w:hAnsi="Century" w:hint="cs"/>
          <w:sz w:val="22"/>
          <w:rtl/>
        </w:rPr>
        <w:t xml:space="preserve"> </w:t>
      </w:r>
      <w:r>
        <w:rPr>
          <w:rFonts w:ascii="Century" w:hAnsi="Century" w:hint="cs"/>
          <w:sz w:val="22"/>
          <w:rtl/>
        </w:rPr>
        <w:t>ויש גם שיח ציבורי ו</w:t>
      </w:r>
      <w:r w:rsidRPr="00253A12">
        <w:rPr>
          <w:rFonts w:ascii="Century" w:hAnsi="Century" w:hint="cs"/>
          <w:sz w:val="22"/>
          <w:rtl/>
        </w:rPr>
        <w:t>תקשורת</w:t>
      </w:r>
      <w:r>
        <w:rPr>
          <w:rFonts w:ascii="Century" w:hAnsi="Century" w:hint="cs"/>
          <w:sz w:val="22"/>
          <w:rtl/>
        </w:rPr>
        <w:t>י</w:t>
      </w:r>
      <w:r w:rsidRPr="00253A12">
        <w:rPr>
          <w:rFonts w:ascii="Century" w:hAnsi="Century" w:hint="cs"/>
          <w:sz w:val="22"/>
          <w:rtl/>
        </w:rPr>
        <w:t xml:space="preserve"> - ולכל אחד מאלה תפקיד חשוב בעיצוב דמותה של הציבוריות הישראלית.</w:t>
      </w:r>
    </w:p>
    <w:p w:rsidR="004855BB" w:rsidRPr="00253A12" w:rsidRDefault="004855BB" w:rsidP="004855BB">
      <w:pPr>
        <w:pStyle w:val="Ruller4"/>
        <w:numPr>
          <w:ilvl w:val="0"/>
          <w:numId w:val="0"/>
        </w:numPr>
        <w:rPr>
          <w:rFonts w:ascii="Century" w:hAnsi="Century"/>
          <w:sz w:val="22"/>
          <w:rtl/>
        </w:rPr>
      </w:pPr>
    </w:p>
    <w:p w:rsidR="004855BB" w:rsidRPr="00CE21C9" w:rsidRDefault="004855BB" w:rsidP="004855BB">
      <w:pPr>
        <w:pStyle w:val="Ruller4"/>
        <w:numPr>
          <w:ilvl w:val="0"/>
          <w:numId w:val="0"/>
        </w:numPr>
        <w:rPr>
          <w:rFonts w:ascii="Century" w:hAnsi="Century"/>
          <w:sz w:val="22"/>
        </w:rPr>
      </w:pPr>
      <w:r>
        <w:rPr>
          <w:rFonts w:ascii="Century" w:hAnsi="Century"/>
          <w:sz w:val="22"/>
          <w:rtl/>
        </w:rPr>
        <w:tab/>
      </w:r>
      <w:r w:rsidRPr="00CE21C9">
        <w:rPr>
          <w:rFonts w:ascii="Century" w:hAnsi="Century" w:hint="cs"/>
          <w:sz w:val="22"/>
          <w:rtl/>
        </w:rPr>
        <w:t>דומה שהכל יסכימו, כי עדיפה מציאות בה בני-החברה ופרנסיה פועלים ע</w:t>
      </w:r>
      <w:r>
        <w:rPr>
          <w:rFonts w:ascii="Century" w:hAnsi="Century" w:hint="cs"/>
          <w:sz w:val="22"/>
          <w:rtl/>
        </w:rPr>
        <w:t>ל-פי</w:t>
      </w:r>
      <w:r w:rsidRPr="00CE21C9">
        <w:rPr>
          <w:rFonts w:ascii="Century" w:hAnsi="Century" w:hint="cs"/>
          <w:sz w:val="22"/>
          <w:rtl/>
        </w:rPr>
        <w:t xml:space="preserve"> נורמות של טוהר מידות </w:t>
      </w:r>
      <w:r>
        <w:rPr>
          <w:rFonts w:ascii="Century" w:hAnsi="Century" w:hint="cs"/>
          <w:sz w:val="22"/>
          <w:rtl/>
        </w:rPr>
        <w:t>ו</w:t>
      </w:r>
      <w:r w:rsidRPr="00CE21C9">
        <w:rPr>
          <w:rFonts w:ascii="Century" w:hAnsi="Century" w:hint="cs"/>
          <w:sz w:val="22"/>
          <w:rtl/>
        </w:rPr>
        <w:t>מינהל תקין, מתוך כיבוד נורמות ציבוריות-מוסריות ראויות, ולא מכוח אכיפה משפטית.</w:t>
      </w:r>
      <w:r>
        <w:rPr>
          <w:rFonts w:ascii="Century" w:hAnsi="Century" w:hint="cs"/>
          <w:sz w:val="22"/>
          <w:rtl/>
        </w:rPr>
        <w:t xml:space="preserve"> </w:t>
      </w:r>
      <w:r w:rsidRPr="00CE21C9">
        <w:rPr>
          <w:rFonts w:ascii="Century" w:hAnsi="Century" w:hint="cs"/>
          <w:sz w:val="22"/>
          <w:rtl/>
        </w:rPr>
        <w:t xml:space="preserve">החוק אינו המקור היחיד לספק לחברה כללי </w:t>
      </w:r>
      <w:r>
        <w:rPr>
          <w:rFonts w:ascii="Century" w:hAnsi="Century" w:hint="cs"/>
          <w:sz w:val="22"/>
          <w:rtl/>
        </w:rPr>
        <w:t>"</w:t>
      </w:r>
      <w:r w:rsidRPr="00CE21C9">
        <w:rPr>
          <w:rFonts w:ascii="Century" w:hAnsi="Century" w:hint="cs"/>
          <w:sz w:val="22"/>
          <w:rtl/>
        </w:rPr>
        <w:t>עשה</w:t>
      </w:r>
      <w:r>
        <w:rPr>
          <w:rFonts w:ascii="Century" w:hAnsi="Century" w:hint="cs"/>
          <w:sz w:val="22"/>
          <w:rtl/>
        </w:rPr>
        <w:t xml:space="preserve">" </w:t>
      </w:r>
      <w:r w:rsidRPr="00CE21C9">
        <w:rPr>
          <w:rFonts w:ascii="Century" w:hAnsi="Century" w:hint="cs"/>
          <w:sz w:val="22"/>
          <w:rtl/>
        </w:rPr>
        <w:t>ו</w:t>
      </w:r>
      <w:r>
        <w:rPr>
          <w:rFonts w:ascii="Century" w:hAnsi="Century" w:hint="cs"/>
          <w:sz w:val="22"/>
          <w:rtl/>
        </w:rPr>
        <w:t>- "</w:t>
      </w:r>
      <w:r w:rsidRPr="00CE21C9">
        <w:rPr>
          <w:rFonts w:ascii="Century" w:hAnsi="Century" w:hint="cs"/>
          <w:sz w:val="22"/>
          <w:rtl/>
        </w:rPr>
        <w:t>אל תעשה</w:t>
      </w:r>
      <w:r>
        <w:rPr>
          <w:rFonts w:ascii="Century" w:hAnsi="Century" w:hint="cs"/>
          <w:sz w:val="22"/>
          <w:rtl/>
        </w:rPr>
        <w:t>"</w:t>
      </w:r>
      <w:r w:rsidRPr="00CE21C9">
        <w:rPr>
          <w:rFonts w:ascii="Century" w:hAnsi="Century" w:hint="cs"/>
          <w:sz w:val="22"/>
          <w:rtl/>
        </w:rPr>
        <w:t>.</w:t>
      </w:r>
      <w:r w:rsidRPr="00253A12">
        <w:rPr>
          <w:rFonts w:ascii="Century" w:hAnsi="Century" w:hint="cs"/>
          <w:sz w:val="22"/>
          <w:rtl/>
        </w:rPr>
        <w:t xml:space="preserve"> </w:t>
      </w:r>
      <w:r w:rsidRPr="00CE21C9">
        <w:rPr>
          <w:rFonts w:ascii="Century" w:hAnsi="Century" w:hint="cs"/>
          <w:sz w:val="22"/>
          <w:rtl/>
        </w:rPr>
        <w:t xml:space="preserve">המערכת המשפטית והנורמות המשפטיות אינן יכולות להיות </w:t>
      </w:r>
      <w:r>
        <w:rPr>
          <w:rFonts w:ascii="Century" w:hAnsi="Century" w:hint="cs"/>
          <w:sz w:val="22"/>
          <w:rtl/>
        </w:rPr>
        <w:t xml:space="preserve">ואינן צריכות להיות </w:t>
      </w:r>
      <w:r w:rsidRPr="00CE21C9">
        <w:rPr>
          <w:rFonts w:ascii="Century" w:hAnsi="Century" w:hint="cs"/>
          <w:sz w:val="22"/>
          <w:rtl/>
        </w:rPr>
        <w:t>"שחקניות" בלעדיות</w:t>
      </w:r>
      <w:r>
        <w:rPr>
          <w:rFonts w:ascii="Century" w:hAnsi="Century" w:hint="cs"/>
          <w:sz w:val="22"/>
          <w:rtl/>
        </w:rPr>
        <w:t xml:space="preserve"> </w:t>
      </w:r>
      <w:r w:rsidRPr="00CE21C9">
        <w:rPr>
          <w:rFonts w:ascii="Century" w:hAnsi="Century" w:hint="cs"/>
          <w:sz w:val="22"/>
          <w:rtl/>
        </w:rPr>
        <w:t xml:space="preserve">בעיצוב הנורמות בחברה, ובעיקר נכון הדבר בתחום הנורמות של הזירה הציבורית. </w:t>
      </w:r>
      <w:r>
        <w:rPr>
          <w:rFonts w:ascii="Century" w:hAnsi="Century" w:hint="cs"/>
          <w:sz w:val="22"/>
          <w:rtl/>
        </w:rPr>
        <w:t>ל"</w:t>
      </w:r>
      <w:r w:rsidRPr="00CE21C9">
        <w:rPr>
          <w:rFonts w:ascii="Century" w:hAnsi="Century" w:hint="cs"/>
          <w:sz w:val="22"/>
          <w:rtl/>
        </w:rPr>
        <w:t>משפטיזציה</w:t>
      </w:r>
      <w:r>
        <w:rPr>
          <w:rFonts w:ascii="Century" w:hAnsi="Century" w:hint="cs"/>
          <w:sz w:val="22"/>
          <w:rtl/>
        </w:rPr>
        <w:t>"</w:t>
      </w:r>
      <w:r w:rsidRPr="00CE21C9">
        <w:rPr>
          <w:rFonts w:ascii="Century" w:hAnsi="Century" w:hint="cs"/>
          <w:sz w:val="22"/>
          <w:rtl/>
        </w:rPr>
        <w:t xml:space="preserve"> של נורמות </w:t>
      </w:r>
      <w:r>
        <w:rPr>
          <w:rFonts w:ascii="Century" w:hAnsi="Century" w:hint="cs"/>
          <w:sz w:val="22"/>
          <w:rtl/>
        </w:rPr>
        <w:t>בזירה ה</w:t>
      </w:r>
      <w:r w:rsidRPr="00CE21C9">
        <w:rPr>
          <w:rFonts w:ascii="Century" w:hAnsi="Century" w:hint="cs"/>
          <w:sz w:val="22"/>
          <w:rtl/>
        </w:rPr>
        <w:t>ציבורית יש מחיר</w:t>
      </w:r>
      <w:r>
        <w:rPr>
          <w:rFonts w:ascii="Century" w:hAnsi="Century" w:hint="cs"/>
          <w:sz w:val="22"/>
          <w:rtl/>
        </w:rPr>
        <w:t>ים לא מבוטלים</w:t>
      </w:r>
      <w:r w:rsidRPr="00CE21C9">
        <w:rPr>
          <w:rFonts w:ascii="Century" w:hAnsi="Century" w:hint="cs"/>
          <w:sz w:val="22"/>
          <w:rtl/>
        </w:rPr>
        <w:t xml:space="preserve">. </w:t>
      </w:r>
    </w:p>
    <w:p w:rsidR="004855BB" w:rsidRPr="005C275F" w:rsidRDefault="004855BB" w:rsidP="004855BB">
      <w:pPr>
        <w:pStyle w:val="Ruller5"/>
        <w:spacing w:line="360" w:lineRule="auto"/>
        <w:ind w:left="0"/>
        <w:rPr>
          <w:rFonts w:ascii="Century" w:hAnsi="Century"/>
          <w:rtl/>
        </w:rPr>
      </w:pPr>
    </w:p>
    <w:p w:rsidR="004855BB" w:rsidRPr="005C275F" w:rsidRDefault="004855BB" w:rsidP="004855BB">
      <w:pPr>
        <w:pStyle w:val="Ruller4"/>
        <w:overflowPunct/>
        <w:autoSpaceDE/>
        <w:autoSpaceDN/>
        <w:adjustRightInd/>
        <w:textAlignment w:val="auto"/>
        <w:rPr>
          <w:rFonts w:ascii="Century" w:hAnsi="Century"/>
          <w:sz w:val="22"/>
          <w:rtl/>
        </w:rPr>
      </w:pPr>
      <w:r>
        <w:rPr>
          <w:rFonts w:ascii="Century" w:hAnsi="Century" w:hint="cs"/>
          <w:sz w:val="22"/>
          <w:rtl/>
        </w:rPr>
        <w:t>מכל מקום</w:t>
      </w:r>
      <w:r w:rsidRPr="005C275F">
        <w:rPr>
          <w:rFonts w:ascii="Century" w:hAnsi="Century"/>
          <w:sz w:val="22"/>
          <w:rtl/>
        </w:rPr>
        <w:t>, חשוב</w:t>
      </w:r>
      <w:r w:rsidRPr="005C275F">
        <w:rPr>
          <w:rFonts w:ascii="Century" w:hAnsi="Century" w:hint="cs"/>
          <w:sz w:val="22"/>
          <w:rtl/>
        </w:rPr>
        <w:t xml:space="preserve"> </w:t>
      </w:r>
      <w:r w:rsidRPr="005C275F">
        <w:rPr>
          <w:rFonts w:ascii="Century" w:hAnsi="Century"/>
          <w:sz w:val="22"/>
          <w:rtl/>
        </w:rPr>
        <w:t>להבהיר</w:t>
      </w:r>
      <w:r w:rsidRPr="005C275F">
        <w:rPr>
          <w:rFonts w:ascii="Century" w:hAnsi="Century" w:hint="cs"/>
          <w:sz w:val="22"/>
          <w:rtl/>
        </w:rPr>
        <w:t xml:space="preserve"> ולהדגיש</w:t>
      </w:r>
      <w:r w:rsidRPr="005C275F">
        <w:rPr>
          <w:rFonts w:ascii="Century" w:hAnsi="Century"/>
          <w:sz w:val="22"/>
          <w:rtl/>
        </w:rPr>
        <w:t xml:space="preserve"> כי השאלה שעמדה להכרעתנו לא הייתה האם </w:t>
      </w:r>
      <w:r>
        <w:rPr>
          <w:rFonts w:ascii="Century" w:hAnsi="Century" w:hint="cs"/>
          <w:sz w:val="22"/>
          <w:rtl/>
        </w:rPr>
        <w:t>יש</w:t>
      </w:r>
      <w:r w:rsidRPr="005C275F">
        <w:rPr>
          <w:rFonts w:ascii="Century" w:hAnsi="Century"/>
          <w:sz w:val="22"/>
          <w:rtl/>
        </w:rPr>
        <w:t xml:space="preserve"> פגם ציבורי</w:t>
      </w:r>
      <w:r w:rsidRPr="005C275F">
        <w:rPr>
          <w:rFonts w:ascii="Century" w:hAnsi="Century" w:hint="cs"/>
          <w:sz w:val="22"/>
          <w:rtl/>
        </w:rPr>
        <w:t>-</w:t>
      </w:r>
      <w:r w:rsidRPr="005C275F">
        <w:rPr>
          <w:rFonts w:ascii="Century" w:hAnsi="Century"/>
          <w:sz w:val="22"/>
          <w:rtl/>
        </w:rPr>
        <w:t xml:space="preserve">ערכי בהרכבת ממשלה </w:t>
      </w:r>
      <w:r w:rsidRPr="005C275F">
        <w:rPr>
          <w:rFonts w:ascii="Century" w:hAnsi="Century" w:hint="cs"/>
          <w:sz w:val="22"/>
          <w:rtl/>
        </w:rPr>
        <w:t>על ידי</w:t>
      </w:r>
      <w:r w:rsidRPr="005C275F">
        <w:rPr>
          <w:rFonts w:ascii="Century" w:hAnsi="Century"/>
          <w:sz w:val="22"/>
          <w:rtl/>
        </w:rPr>
        <w:t xml:space="preserve"> מי שהוגש נגדו </w:t>
      </w:r>
      <w:r w:rsidRPr="005C275F">
        <w:rPr>
          <w:rFonts w:ascii="Century" w:hAnsi="Century" w:hint="cs"/>
          <w:sz w:val="22"/>
          <w:rtl/>
        </w:rPr>
        <w:t xml:space="preserve">כתב אישום חמור בעבירות על טוהר המידות, </w:t>
      </w:r>
      <w:r w:rsidRPr="005C275F">
        <w:rPr>
          <w:rFonts w:ascii="Century" w:hAnsi="Century"/>
          <w:sz w:val="22"/>
          <w:rtl/>
        </w:rPr>
        <w:t>אלא האם החוק</w:t>
      </w:r>
      <w:r>
        <w:rPr>
          <w:rFonts w:ascii="Century" w:hAnsi="Century" w:hint="cs"/>
          <w:sz w:val="22"/>
          <w:rtl/>
        </w:rPr>
        <w:t xml:space="preserve"> בישראל</w:t>
      </w:r>
      <w:r w:rsidRPr="005C275F">
        <w:rPr>
          <w:rFonts w:ascii="Century" w:hAnsi="Century"/>
          <w:sz w:val="22"/>
          <w:rtl/>
        </w:rPr>
        <w:t xml:space="preserve"> אוסר זאת, באופן שבידי </w:t>
      </w:r>
      <w:r w:rsidRPr="005C275F">
        <w:rPr>
          <w:rFonts w:ascii="Century" w:hAnsi="Century" w:hint="cs"/>
          <w:sz w:val="22"/>
          <w:rtl/>
        </w:rPr>
        <w:t xml:space="preserve">בית המשפט </w:t>
      </w:r>
      <w:r w:rsidRPr="005C275F">
        <w:rPr>
          <w:rFonts w:ascii="Century" w:hAnsi="Century"/>
          <w:sz w:val="22"/>
          <w:rtl/>
        </w:rPr>
        <w:t xml:space="preserve">למנוע </w:t>
      </w:r>
      <w:r>
        <w:rPr>
          <w:rFonts w:ascii="Century" w:hAnsi="Century" w:hint="cs"/>
          <w:sz w:val="22"/>
          <w:rtl/>
        </w:rPr>
        <w:t>מהלך כזה</w:t>
      </w:r>
      <w:r w:rsidRPr="005C275F">
        <w:rPr>
          <w:rFonts w:ascii="Century" w:hAnsi="Century"/>
          <w:sz w:val="22"/>
          <w:rtl/>
        </w:rPr>
        <w:t>. והתשובה לה הגענו, פה אחד, כל שופטי ההרכב, היא שלילית</w:t>
      </w:r>
      <w:r w:rsidRPr="005C275F">
        <w:rPr>
          <w:rFonts w:ascii="Century" w:hAnsi="Century" w:hint="cs"/>
          <w:sz w:val="22"/>
          <w:rtl/>
        </w:rPr>
        <w:t>.</w:t>
      </w:r>
    </w:p>
    <w:p w:rsidR="004855BB" w:rsidRPr="005E6F9A" w:rsidRDefault="004855BB" w:rsidP="004855BB">
      <w:pPr>
        <w:spacing w:line="360" w:lineRule="auto"/>
        <w:ind w:firstLine="720"/>
        <w:jc w:val="both"/>
        <w:rPr>
          <w:rFonts w:ascii="Century" w:hAnsi="Century" w:cs="FrankRuehl"/>
          <w:spacing w:val="10"/>
          <w:sz w:val="22"/>
          <w:szCs w:val="28"/>
          <w:rtl/>
        </w:rPr>
      </w:pPr>
    </w:p>
    <w:p w:rsidR="004855BB" w:rsidRDefault="004855BB" w:rsidP="004855BB">
      <w:pPr>
        <w:pStyle w:val="Ruller4"/>
        <w:overflowPunct/>
        <w:autoSpaceDE/>
        <w:autoSpaceDN/>
        <w:adjustRightInd/>
        <w:textAlignment w:val="auto"/>
        <w:rPr>
          <w:rFonts w:ascii="Century" w:hAnsi="Century"/>
          <w:sz w:val="22"/>
          <w:rtl/>
        </w:rPr>
      </w:pPr>
      <w:r w:rsidRPr="005C275F">
        <w:rPr>
          <w:rFonts w:ascii="Century" w:hAnsi="Century"/>
          <w:sz w:val="22"/>
          <w:rtl/>
        </w:rPr>
        <w:t xml:space="preserve">ההסדר </w:t>
      </w:r>
      <w:r w:rsidRPr="005C275F">
        <w:rPr>
          <w:rFonts w:ascii="Century" w:hAnsi="Century" w:hint="cs"/>
          <w:sz w:val="22"/>
          <w:rtl/>
        </w:rPr>
        <w:t>בחוק יסוד: הממשלה ו</w:t>
      </w:r>
      <w:r>
        <w:rPr>
          <w:rFonts w:ascii="Century" w:hAnsi="Century" w:hint="cs"/>
          <w:sz w:val="22"/>
          <w:rtl/>
        </w:rPr>
        <w:t>ב</w:t>
      </w:r>
      <w:r w:rsidRPr="005C275F">
        <w:rPr>
          <w:rFonts w:ascii="Century" w:hAnsi="Century" w:hint="cs"/>
          <w:sz w:val="22"/>
          <w:rtl/>
        </w:rPr>
        <w:t xml:space="preserve">חוק יסוד: הכנסת </w:t>
      </w:r>
      <w:r w:rsidRPr="005C275F">
        <w:rPr>
          <w:rFonts w:ascii="Century" w:hAnsi="Century"/>
          <w:sz w:val="22"/>
          <w:rtl/>
        </w:rPr>
        <w:t xml:space="preserve">לענין </w:t>
      </w:r>
      <w:r w:rsidRPr="005C275F">
        <w:rPr>
          <w:rFonts w:ascii="Century" w:hAnsi="Century" w:hint="cs"/>
          <w:sz w:val="22"/>
          <w:rtl/>
        </w:rPr>
        <w:t>כשירות והפסקת כהונה של ראש הממשלה, וכשירות חבר כנסת להרכבת ממשלה,</w:t>
      </w:r>
      <w:r w:rsidRPr="005C275F">
        <w:rPr>
          <w:rFonts w:ascii="Century" w:hAnsi="Century"/>
          <w:sz w:val="22"/>
          <w:rtl/>
        </w:rPr>
        <w:t xml:space="preserve"> הוא ברור וממצה</w:t>
      </w:r>
      <w:r w:rsidRPr="005C275F">
        <w:rPr>
          <w:rFonts w:ascii="Century" w:hAnsi="Century" w:hint="cs"/>
          <w:sz w:val="22"/>
          <w:rtl/>
        </w:rPr>
        <w:t xml:space="preserve">, </w:t>
      </w:r>
      <w:r w:rsidRPr="005C275F">
        <w:rPr>
          <w:rFonts w:ascii="Century" w:hAnsi="Century"/>
          <w:sz w:val="22"/>
          <w:rtl/>
        </w:rPr>
        <w:t xml:space="preserve"> ואינו מותיר </w:t>
      </w:r>
      <w:r w:rsidRPr="005C275F">
        <w:rPr>
          <w:rFonts w:ascii="Century" w:hAnsi="Century" w:hint="cs"/>
          <w:sz w:val="22"/>
          <w:rtl/>
        </w:rPr>
        <w:t>חסר הטעון פרשנות או השלמה על ידי בית המשפט</w:t>
      </w:r>
      <w:r>
        <w:rPr>
          <w:rFonts w:ascii="Century" w:hAnsi="Century" w:hint="cs"/>
          <w:sz w:val="22"/>
          <w:rtl/>
        </w:rPr>
        <w:t>.</w:t>
      </w:r>
      <w:r w:rsidRPr="005C275F">
        <w:rPr>
          <w:rFonts w:ascii="Century" w:hAnsi="Century" w:hint="cs"/>
          <w:sz w:val="22"/>
          <w:rtl/>
        </w:rPr>
        <w:t xml:space="preserve"> עמדו על כך חבריי</w:t>
      </w:r>
      <w:r>
        <w:rPr>
          <w:rFonts w:ascii="Century" w:hAnsi="Century" w:hint="cs"/>
          <w:sz w:val="22"/>
          <w:rtl/>
        </w:rPr>
        <w:t>,</w:t>
      </w:r>
      <w:r w:rsidRPr="005C275F">
        <w:rPr>
          <w:rFonts w:ascii="Century" w:hAnsi="Century" w:hint="cs"/>
          <w:sz w:val="22"/>
          <w:rtl/>
        </w:rPr>
        <w:t xml:space="preserve"> ואיני רואה צורך לחזור ולפרט</w:t>
      </w:r>
      <w:r>
        <w:rPr>
          <w:rFonts w:ascii="Century" w:hAnsi="Century" w:hint="cs"/>
          <w:sz w:val="22"/>
          <w:rtl/>
        </w:rPr>
        <w:t xml:space="preserve"> בענין זה</w:t>
      </w:r>
      <w:r w:rsidRPr="005C275F">
        <w:rPr>
          <w:rFonts w:ascii="Century" w:hAnsi="Century" w:hint="cs"/>
          <w:sz w:val="22"/>
          <w:rtl/>
        </w:rPr>
        <w:t>.</w:t>
      </w:r>
    </w:p>
    <w:p w:rsidR="004855BB" w:rsidRPr="005C275F" w:rsidRDefault="004855BB" w:rsidP="004855BB">
      <w:pPr>
        <w:pStyle w:val="Ruller4"/>
        <w:numPr>
          <w:ilvl w:val="0"/>
          <w:numId w:val="0"/>
        </w:numPr>
      </w:pPr>
    </w:p>
    <w:p w:rsidR="004855BB" w:rsidRDefault="004855BB" w:rsidP="004855BB">
      <w:pPr>
        <w:pStyle w:val="Ruller4"/>
        <w:numPr>
          <w:ilvl w:val="0"/>
          <w:numId w:val="0"/>
        </w:numPr>
        <w:rPr>
          <w:rFonts w:ascii="Century" w:hAnsi="Century"/>
          <w:sz w:val="22"/>
          <w:rtl/>
        </w:rPr>
      </w:pPr>
      <w:r w:rsidRPr="005C275F">
        <w:t xml:space="preserve"> </w:t>
      </w:r>
      <w:r>
        <w:rPr>
          <w:rFonts w:ascii="Century" w:hAnsi="Century"/>
          <w:sz w:val="22"/>
          <w:rtl/>
        </w:rPr>
        <w:tab/>
      </w:r>
      <w:r w:rsidRPr="00FA6D06">
        <w:rPr>
          <w:rFonts w:ascii="Century" w:hAnsi="Century"/>
          <w:sz w:val="22"/>
          <w:rtl/>
        </w:rPr>
        <w:t>מדובר בהסדר חוקתי-מוסדי</w:t>
      </w:r>
      <w:r>
        <w:rPr>
          <w:rFonts w:ascii="Century" w:hAnsi="Century" w:hint="cs"/>
          <w:sz w:val="22"/>
          <w:rtl/>
        </w:rPr>
        <w:t xml:space="preserve"> קונקרטי,</w:t>
      </w:r>
      <w:r w:rsidRPr="00FA6D06">
        <w:rPr>
          <w:rFonts w:ascii="Century" w:hAnsi="Century"/>
          <w:sz w:val="22"/>
          <w:rtl/>
        </w:rPr>
        <w:t xml:space="preserve"> הקבוע בח</w:t>
      </w:r>
      <w:r w:rsidRPr="00FA6D06">
        <w:rPr>
          <w:rFonts w:ascii="Century" w:hAnsi="Century" w:hint="cs"/>
          <w:sz w:val="22"/>
          <w:rtl/>
        </w:rPr>
        <w:t>וק</w:t>
      </w:r>
      <w:r>
        <w:rPr>
          <w:rFonts w:ascii="Century" w:hAnsi="Century" w:hint="cs"/>
          <w:sz w:val="22"/>
          <w:rtl/>
        </w:rPr>
        <w:t>י</w:t>
      </w:r>
      <w:r w:rsidRPr="00FA6D06">
        <w:rPr>
          <w:rFonts w:ascii="Century" w:hAnsi="Century" w:hint="cs"/>
          <w:sz w:val="22"/>
          <w:rtl/>
        </w:rPr>
        <w:t xml:space="preserve"> </w:t>
      </w:r>
      <w:r>
        <w:rPr>
          <w:rFonts w:ascii="Century" w:hAnsi="Century" w:hint="cs"/>
          <w:sz w:val="22"/>
          <w:rtl/>
        </w:rPr>
        <w:t>ה</w:t>
      </w:r>
      <w:r w:rsidRPr="00FA6D06">
        <w:rPr>
          <w:rFonts w:ascii="Century" w:hAnsi="Century" w:hint="cs"/>
          <w:sz w:val="22"/>
          <w:rtl/>
        </w:rPr>
        <w:t>יסוד</w:t>
      </w:r>
      <w:r w:rsidRPr="00FA6D06">
        <w:rPr>
          <w:rFonts w:ascii="Century" w:hAnsi="Century"/>
          <w:sz w:val="22"/>
          <w:rtl/>
        </w:rPr>
        <w:t xml:space="preserve">, ולא בענין הנתון לשיקול דעת </w:t>
      </w:r>
      <w:r w:rsidRPr="00FA6D06">
        <w:rPr>
          <w:rFonts w:ascii="Century" w:hAnsi="Century" w:hint="cs"/>
          <w:sz w:val="22"/>
          <w:rtl/>
        </w:rPr>
        <w:t xml:space="preserve">בית המשפט. </w:t>
      </w:r>
      <w:r w:rsidRPr="00FA6D06">
        <w:rPr>
          <w:rFonts w:ascii="Century" w:hAnsi="Century"/>
          <w:sz w:val="22"/>
          <w:rtl/>
        </w:rPr>
        <w:t xml:space="preserve">כאשר מדובר </w:t>
      </w:r>
      <w:r w:rsidRPr="00FA6D06">
        <w:rPr>
          <w:rFonts w:ascii="Century" w:hAnsi="Century" w:hint="cs"/>
          <w:sz w:val="22"/>
          <w:rtl/>
        </w:rPr>
        <w:t>ב</w:t>
      </w:r>
      <w:r w:rsidRPr="00FA6D06">
        <w:rPr>
          <w:rFonts w:ascii="Century" w:hAnsi="Century"/>
          <w:sz w:val="22"/>
          <w:rtl/>
        </w:rPr>
        <w:t xml:space="preserve">הוראה </w:t>
      </w:r>
      <w:r w:rsidRPr="00FA6D06">
        <w:rPr>
          <w:rFonts w:ascii="Century" w:hAnsi="Century" w:hint="cs"/>
          <w:sz w:val="22"/>
          <w:rtl/>
        </w:rPr>
        <w:t>חוקתית-</w:t>
      </w:r>
      <w:r w:rsidRPr="000723B6">
        <w:rPr>
          <w:rFonts w:ascii="Century" w:hAnsi="Century" w:cs="Miriam"/>
          <w:b/>
          <w:spacing w:val="0"/>
          <w:sz w:val="22"/>
          <w:szCs w:val="24"/>
          <w:rtl/>
        </w:rPr>
        <w:t>מוסדית</w:t>
      </w:r>
      <w:r w:rsidRPr="00FA6D06">
        <w:rPr>
          <w:rFonts w:ascii="Century" w:hAnsi="Century"/>
          <w:sz w:val="22"/>
          <w:rtl/>
        </w:rPr>
        <w:t xml:space="preserve">, </w:t>
      </w:r>
      <w:r>
        <w:rPr>
          <w:rFonts w:ascii="Century" w:hAnsi="Century" w:hint="cs"/>
          <w:sz w:val="22"/>
          <w:rtl/>
        </w:rPr>
        <w:t>מתחייבת</w:t>
      </w:r>
      <w:r w:rsidRPr="00FA6D06">
        <w:rPr>
          <w:rFonts w:ascii="Century" w:hAnsi="Century" w:hint="cs"/>
          <w:sz w:val="22"/>
          <w:rtl/>
        </w:rPr>
        <w:t xml:space="preserve"> פרשנות </w:t>
      </w:r>
      <w:r w:rsidRPr="00A45818">
        <w:rPr>
          <w:rFonts w:ascii="Century" w:hAnsi="Century" w:hint="cs"/>
          <w:spacing w:val="8"/>
          <w:sz w:val="22"/>
          <w:rtl/>
        </w:rPr>
        <w:t>דווקנית</w:t>
      </w:r>
      <w:r>
        <w:rPr>
          <w:rFonts w:ascii="Century" w:hAnsi="Century" w:hint="cs"/>
          <w:spacing w:val="8"/>
          <w:sz w:val="22"/>
          <w:rtl/>
        </w:rPr>
        <w:t xml:space="preserve"> של לשון החוק</w:t>
      </w:r>
      <w:r w:rsidRPr="00A45818">
        <w:rPr>
          <w:rFonts w:ascii="Century" w:hAnsi="Century" w:hint="cs"/>
          <w:spacing w:val="8"/>
          <w:sz w:val="22"/>
          <w:rtl/>
        </w:rPr>
        <w:t>, ו</w:t>
      </w:r>
      <w:r w:rsidRPr="00A45818">
        <w:rPr>
          <w:rFonts w:ascii="Century" w:hAnsi="Century"/>
          <w:spacing w:val="8"/>
          <w:sz w:val="22"/>
          <w:rtl/>
        </w:rPr>
        <w:t xml:space="preserve">אין מקום </w:t>
      </w:r>
      <w:r>
        <w:rPr>
          <w:rFonts w:ascii="Century" w:hAnsi="Century" w:hint="cs"/>
          <w:spacing w:val="8"/>
          <w:sz w:val="22"/>
          <w:rtl/>
        </w:rPr>
        <w:t xml:space="preserve">לחרוג מההסדר שנקבע על ידי פרשנות מרחיבה, או לעריכת </w:t>
      </w:r>
      <w:r w:rsidRPr="00A45818">
        <w:rPr>
          <w:rFonts w:ascii="Century" w:hAnsi="Century"/>
          <w:spacing w:val="8"/>
          <w:sz w:val="22"/>
          <w:rtl/>
        </w:rPr>
        <w:t>איזונים</w:t>
      </w:r>
      <w:r w:rsidRPr="00A45818">
        <w:rPr>
          <w:rFonts w:ascii="Century" w:hAnsi="Century" w:hint="cs"/>
          <w:spacing w:val="8"/>
          <w:sz w:val="22"/>
          <w:rtl/>
        </w:rPr>
        <w:t xml:space="preserve">, כפי הנעשה בנוגע להוראות בחוקה שעניינן זכויות אדם, </w:t>
      </w:r>
      <w:r w:rsidRPr="00A45818">
        <w:rPr>
          <w:rFonts w:ascii="Century" w:hAnsi="Century" w:hint="cs"/>
          <w:spacing w:val="6"/>
          <w:sz w:val="22"/>
          <w:rtl/>
        </w:rPr>
        <w:t>המנוסחות מטבע הדברים באופן כללי ומופשט</w:t>
      </w:r>
      <w:r w:rsidRPr="00A45818">
        <w:rPr>
          <w:rFonts w:ascii="Century" w:hAnsi="Century" w:hint="cs"/>
          <w:sz w:val="22"/>
          <w:rtl/>
        </w:rPr>
        <w:t>.</w:t>
      </w:r>
    </w:p>
    <w:p w:rsidR="004855BB" w:rsidRDefault="004855BB" w:rsidP="004855BB">
      <w:pPr>
        <w:pStyle w:val="Ruller40"/>
        <w:rPr>
          <w:rtl/>
        </w:rPr>
      </w:pPr>
    </w:p>
    <w:p w:rsidR="004855BB" w:rsidRDefault="004855BB" w:rsidP="004855BB">
      <w:pPr>
        <w:pStyle w:val="Ruller5"/>
        <w:spacing w:line="276" w:lineRule="auto"/>
        <w:rPr>
          <w:rFonts w:ascii="Century" w:hAnsi="Century"/>
          <w:spacing w:val="6"/>
          <w:rtl/>
        </w:rPr>
      </w:pPr>
      <w:r>
        <w:rPr>
          <w:rFonts w:ascii="Century" w:hAnsi="Century" w:hint="cs"/>
          <w:spacing w:val="6"/>
          <w:rtl/>
        </w:rPr>
        <w:t>"</w:t>
      </w:r>
      <w:r w:rsidRPr="00A45818">
        <w:rPr>
          <w:rFonts w:ascii="Century" w:hAnsi="Century"/>
          <w:spacing w:val="6"/>
          <w:rtl/>
        </w:rPr>
        <w:t>לשונו של הטקסט החוקתי, כמו כל טקסט משפט</w:t>
      </w:r>
      <w:r>
        <w:rPr>
          <w:rFonts w:ascii="Century" w:hAnsi="Century"/>
          <w:spacing w:val="6"/>
          <w:rtl/>
        </w:rPr>
        <w:t>י אחר, קובעת את גבולות פרשנותו.</w:t>
      </w:r>
      <w:r>
        <w:rPr>
          <w:rFonts w:ascii="Century" w:hAnsi="Century" w:hint="cs"/>
          <w:spacing w:val="6"/>
          <w:rtl/>
        </w:rPr>
        <w:t>.</w:t>
      </w:r>
      <w:r w:rsidRPr="00A45818">
        <w:rPr>
          <w:rFonts w:ascii="Century" w:hAnsi="Century"/>
          <w:spacing w:val="6"/>
          <w:rtl/>
        </w:rPr>
        <w:t>. הטעמים החוקתיים המגבילים את כוחו של שופט כפרשן פועלים במלוא עוצמתם כאשר השופט מפרש טקסט חוקתי. דווקא במצב דברים זה עליו לגלות זהירות מרובה שלא לחצות את גבול הלשון ושלא ליצור טקסט חוקתי חדש. כוחו וסמכותו של השופט הם במתן מובן לטקסט חוקתי קיים. יצירת הטקסט החוקתי היא הרשאה לפרשנותו. הרשאה זו מסתיימת במקום שלשון הטקסט החוקתי מסתיימת</w:t>
      </w:r>
      <w:r>
        <w:rPr>
          <w:rFonts w:ascii="Century" w:hAnsi="Century" w:hint="cs"/>
          <w:spacing w:val="6"/>
          <w:rtl/>
        </w:rPr>
        <w:t>"</w:t>
      </w:r>
      <w:r w:rsidRPr="00F34193">
        <w:rPr>
          <w:rFonts w:ascii="Century" w:hAnsi="Century"/>
          <w:rtl/>
        </w:rPr>
        <w:t xml:space="preserve"> </w:t>
      </w:r>
      <w:r>
        <w:rPr>
          <w:rFonts w:ascii="Century" w:hAnsi="Century" w:hint="cs"/>
          <w:rtl/>
        </w:rPr>
        <w:t>(</w:t>
      </w:r>
      <w:r w:rsidRPr="00F34193">
        <w:rPr>
          <w:rFonts w:ascii="Century" w:hAnsi="Century"/>
          <w:rtl/>
        </w:rPr>
        <w:t>בג"ץ 2257</w:t>
      </w:r>
      <w:r>
        <w:rPr>
          <w:rFonts w:ascii="Century" w:hAnsi="Century" w:hint="cs"/>
          <w:rtl/>
        </w:rPr>
        <w:t>/</w:t>
      </w:r>
      <w:r w:rsidRPr="00F34193">
        <w:rPr>
          <w:rFonts w:ascii="Century" w:hAnsi="Century"/>
          <w:rtl/>
        </w:rPr>
        <w:t xml:space="preserve">04 </w:t>
      </w:r>
      <w:r w:rsidRPr="00684DD0">
        <w:rPr>
          <w:rFonts w:ascii="Century" w:hAnsi="Century" w:cs="Miriam"/>
          <w:b/>
          <w:spacing w:val="0"/>
          <w:szCs w:val="24"/>
          <w:rtl/>
        </w:rPr>
        <w:t>סיעת חד"ש</w:t>
      </w:r>
      <w:r w:rsidRPr="00684DD0">
        <w:rPr>
          <w:rFonts w:ascii="Century" w:hAnsi="Century" w:cs="Miriam" w:hint="cs"/>
          <w:b/>
          <w:spacing w:val="0"/>
          <w:szCs w:val="24"/>
          <w:rtl/>
        </w:rPr>
        <w:t>-</w:t>
      </w:r>
      <w:r w:rsidRPr="00684DD0">
        <w:rPr>
          <w:rFonts w:ascii="Century" w:hAnsi="Century" w:cs="Miriam"/>
          <w:b/>
          <w:spacing w:val="0"/>
          <w:szCs w:val="24"/>
          <w:rtl/>
        </w:rPr>
        <w:t xml:space="preserve">תע"ל נ' </w:t>
      </w:r>
      <w:r w:rsidRPr="00684DD0">
        <w:rPr>
          <w:rFonts w:ascii="Century" w:hAnsi="Century" w:cs="Miriam" w:hint="cs"/>
          <w:b/>
          <w:spacing w:val="0"/>
          <w:szCs w:val="24"/>
          <w:rtl/>
        </w:rPr>
        <w:t>יו"ר</w:t>
      </w:r>
      <w:r w:rsidRPr="00684DD0">
        <w:rPr>
          <w:rFonts w:ascii="Century" w:hAnsi="Century" w:cs="Miriam"/>
          <w:b/>
          <w:spacing w:val="0"/>
          <w:szCs w:val="24"/>
          <w:rtl/>
        </w:rPr>
        <w:t xml:space="preserve"> ועדת הבחירות המרכזית לכנסת ה-17</w:t>
      </w:r>
      <w:r w:rsidRPr="00F34193">
        <w:rPr>
          <w:rFonts w:ascii="Century" w:hAnsi="Century"/>
          <w:rtl/>
        </w:rPr>
        <w:t>,</w:t>
      </w:r>
      <w:r>
        <w:rPr>
          <w:rFonts w:ascii="Century" w:hAnsi="Century" w:hint="cs"/>
          <w:rtl/>
        </w:rPr>
        <w:t xml:space="preserve"> </w:t>
      </w:r>
      <w:r w:rsidRPr="00F34193">
        <w:rPr>
          <w:rFonts w:ascii="Century" w:hAnsi="Century"/>
          <w:spacing w:val="6"/>
          <w:rtl/>
        </w:rPr>
        <w:t>פ"ד נח(6) 685</w:t>
      </w:r>
      <w:r w:rsidRPr="00F34193">
        <w:rPr>
          <w:rFonts w:ascii="Century" w:hAnsi="Century" w:hint="cs"/>
          <w:spacing w:val="6"/>
          <w:rtl/>
        </w:rPr>
        <w:t>, 710 (2004)). וראו גם: בג"ץ 7157/95</w:t>
      </w:r>
      <w:r w:rsidRPr="00F34193">
        <w:rPr>
          <w:rFonts w:ascii="Century" w:hAnsi="Century" w:hint="cs"/>
          <w:rtl/>
        </w:rPr>
        <w:t xml:space="preserve"> </w:t>
      </w:r>
      <w:r w:rsidRPr="00684DD0">
        <w:rPr>
          <w:rFonts w:ascii="Century" w:hAnsi="Century" w:cs="Miriam" w:hint="cs"/>
          <w:b/>
          <w:spacing w:val="0"/>
          <w:szCs w:val="24"/>
          <w:rtl/>
        </w:rPr>
        <w:t>ארד נ' יושב ראש הכנסת</w:t>
      </w:r>
      <w:r w:rsidRPr="00F34193">
        <w:rPr>
          <w:rFonts w:ascii="Century" w:hAnsi="Century" w:hint="cs"/>
          <w:rtl/>
        </w:rPr>
        <w:t>, פ"ד נ(1) 573, 623 (1996)</w:t>
      </w:r>
      <w:r>
        <w:rPr>
          <w:rFonts w:ascii="Century" w:hAnsi="Century" w:hint="cs"/>
          <w:spacing w:val="6"/>
          <w:rtl/>
        </w:rPr>
        <w:t>.</w:t>
      </w:r>
    </w:p>
    <w:p w:rsidR="004855BB" w:rsidRPr="00F34193" w:rsidRDefault="004855BB" w:rsidP="004855BB">
      <w:pPr>
        <w:pStyle w:val="Ruller4"/>
        <w:numPr>
          <w:ilvl w:val="0"/>
          <w:numId w:val="0"/>
        </w:numPr>
        <w:rPr>
          <w:rFonts w:ascii="Century" w:hAnsi="Century"/>
          <w:szCs w:val="32"/>
          <w:rtl/>
        </w:rPr>
      </w:pPr>
    </w:p>
    <w:p w:rsidR="004855BB" w:rsidRPr="005C275F" w:rsidRDefault="004855BB" w:rsidP="004855BB">
      <w:pPr>
        <w:pStyle w:val="Ruller4"/>
        <w:overflowPunct/>
        <w:autoSpaceDE/>
        <w:autoSpaceDN/>
        <w:adjustRightInd/>
        <w:textAlignment w:val="auto"/>
        <w:rPr>
          <w:rFonts w:ascii="Century" w:hAnsi="Century"/>
          <w:sz w:val="22"/>
          <w:rtl/>
        </w:rPr>
      </w:pPr>
      <w:r>
        <w:rPr>
          <w:rFonts w:ascii="Century" w:hAnsi="Century" w:hint="cs"/>
          <w:sz w:val="22"/>
          <w:rtl/>
        </w:rPr>
        <w:t xml:space="preserve">יש רגליים לסברה, כטענת היועץ המשפטי לממשלה, כי הכנסת, בכובעה המכונן, בחרה </w:t>
      </w:r>
      <w:r w:rsidRPr="004F0BAF">
        <w:rPr>
          <w:rFonts w:ascii="Century" w:hAnsi="Century" w:hint="cs"/>
          <w:sz w:val="22"/>
          <w:rtl/>
        </w:rPr>
        <w:t>במודע</w:t>
      </w:r>
      <w:r>
        <w:rPr>
          <w:rFonts w:ascii="Century" w:hAnsi="Century" w:hint="cs"/>
          <w:sz w:val="22"/>
          <w:rtl/>
        </w:rPr>
        <w:t>, מטעמים שונים,</w:t>
      </w:r>
      <w:r w:rsidRPr="004F0BAF">
        <w:rPr>
          <w:rFonts w:ascii="Century" w:hAnsi="Century" w:hint="cs"/>
          <w:sz w:val="22"/>
          <w:rtl/>
        </w:rPr>
        <w:t xml:space="preserve"> </w:t>
      </w:r>
      <w:r>
        <w:rPr>
          <w:rFonts w:ascii="Century" w:hAnsi="Century" w:hint="cs"/>
          <w:sz w:val="22"/>
          <w:rtl/>
        </w:rPr>
        <w:t>שלא לשלול ממי שהוגש נגדו כתב אישום את הכשירות להמשיך ולכהן כראש ממשלה או להרכיב ממשלה. אמנם</w:t>
      </w:r>
      <w:r w:rsidRPr="005C275F">
        <w:rPr>
          <w:rFonts w:ascii="Century" w:hAnsi="Century" w:hint="cs"/>
          <w:sz w:val="22"/>
          <w:rtl/>
        </w:rPr>
        <w:t xml:space="preserve"> יתכן כי הכנסת בחרה שלא לקבוע הורא</w:t>
      </w:r>
      <w:r>
        <w:rPr>
          <w:rFonts w:ascii="Century" w:hAnsi="Century" w:hint="cs"/>
          <w:sz w:val="22"/>
          <w:rtl/>
        </w:rPr>
        <w:t>ת</w:t>
      </w:r>
      <w:r w:rsidRPr="005C275F">
        <w:rPr>
          <w:rFonts w:ascii="Century" w:hAnsi="Century" w:hint="cs"/>
          <w:sz w:val="22"/>
          <w:rtl/>
        </w:rPr>
        <w:t xml:space="preserve"> אי-כשירות </w:t>
      </w:r>
      <w:r>
        <w:rPr>
          <w:rFonts w:ascii="Century" w:hAnsi="Century" w:hint="cs"/>
          <w:sz w:val="22"/>
          <w:rtl/>
        </w:rPr>
        <w:t>כאמור</w:t>
      </w:r>
      <w:r w:rsidRPr="005C275F">
        <w:rPr>
          <w:rFonts w:ascii="Century" w:hAnsi="Century" w:hint="cs"/>
          <w:sz w:val="22"/>
          <w:rtl/>
        </w:rPr>
        <w:t xml:space="preserve"> מתוך הנחה שלא נגיע למצב כזה, או כי מצב כזה ייפתר במישור הפוליטי (כפי שאירע בשנת 2009 ערב הגשת כתב אישום נגד ראש הממשלה דאז). ואולם, את </w:t>
      </w:r>
      <w:r>
        <w:rPr>
          <w:rFonts w:ascii="Century" w:hAnsi="Century" w:hint="cs"/>
          <w:sz w:val="22"/>
          <w:rtl/>
        </w:rPr>
        <w:t>שנמנעה</w:t>
      </w:r>
      <w:r w:rsidRPr="005C275F">
        <w:rPr>
          <w:rFonts w:ascii="Century" w:hAnsi="Century" w:hint="cs"/>
          <w:sz w:val="22"/>
          <w:rtl/>
        </w:rPr>
        <w:t xml:space="preserve"> </w:t>
      </w:r>
      <w:r>
        <w:rPr>
          <w:rFonts w:ascii="Century" w:hAnsi="Century" w:hint="cs"/>
          <w:sz w:val="22"/>
          <w:rtl/>
        </w:rPr>
        <w:t>הכנסת</w:t>
      </w:r>
      <w:r w:rsidRPr="005C275F">
        <w:rPr>
          <w:rFonts w:ascii="Century" w:hAnsi="Century" w:hint="cs"/>
          <w:sz w:val="22"/>
          <w:rtl/>
        </w:rPr>
        <w:t xml:space="preserve"> </w:t>
      </w:r>
      <w:r>
        <w:rPr>
          <w:rFonts w:ascii="Century" w:hAnsi="Century" w:hint="cs"/>
          <w:sz w:val="22"/>
          <w:rtl/>
        </w:rPr>
        <w:t xml:space="preserve">מלהורות </w:t>
      </w:r>
      <w:r w:rsidRPr="005C275F">
        <w:rPr>
          <w:rFonts w:ascii="Century" w:hAnsi="Century" w:hint="cs"/>
          <w:sz w:val="22"/>
          <w:rtl/>
        </w:rPr>
        <w:t>אין בידינו להשלים</w:t>
      </w:r>
      <w:r>
        <w:rPr>
          <w:rFonts w:ascii="Century" w:hAnsi="Century" w:hint="cs"/>
          <w:sz w:val="22"/>
          <w:rtl/>
        </w:rPr>
        <w:t>, על דרך של פרשנות או חקיקה שיפוטית</w:t>
      </w:r>
      <w:r w:rsidRPr="005C275F">
        <w:rPr>
          <w:rFonts w:ascii="Century" w:hAnsi="Century" w:hint="cs"/>
          <w:sz w:val="22"/>
          <w:rtl/>
        </w:rPr>
        <w:t>.</w:t>
      </w:r>
    </w:p>
    <w:p w:rsidR="004855BB" w:rsidRPr="005C275F" w:rsidRDefault="004855BB" w:rsidP="004855BB">
      <w:pPr>
        <w:pStyle w:val="Ruller4"/>
        <w:numPr>
          <w:ilvl w:val="0"/>
          <w:numId w:val="0"/>
        </w:numPr>
        <w:rPr>
          <w:rFonts w:ascii="Century" w:hAnsi="Century"/>
          <w:sz w:val="22"/>
          <w:rtl/>
        </w:rPr>
      </w:pPr>
    </w:p>
    <w:p w:rsidR="004855BB" w:rsidRPr="005C275F" w:rsidRDefault="004855BB" w:rsidP="004855BB">
      <w:pPr>
        <w:pStyle w:val="Ruller4"/>
        <w:overflowPunct/>
        <w:autoSpaceDE/>
        <w:autoSpaceDN/>
        <w:adjustRightInd/>
        <w:textAlignment w:val="auto"/>
        <w:rPr>
          <w:rFonts w:asciiTheme="minorHAnsi" w:hAnsiTheme="minorHAnsi" w:cstheme="minorHAnsi"/>
          <w:rtl/>
          <w:lang w:val="en"/>
        </w:rPr>
      </w:pPr>
      <w:r w:rsidRPr="005C275F">
        <w:rPr>
          <w:rFonts w:ascii="Century" w:hAnsi="Century"/>
          <w:sz w:val="22"/>
          <w:rtl/>
        </w:rPr>
        <w:tab/>
      </w:r>
      <w:r>
        <w:rPr>
          <w:rFonts w:ascii="Century" w:hAnsi="Century" w:hint="cs"/>
          <w:sz w:val="22"/>
          <w:rtl/>
        </w:rPr>
        <w:t>ל</w:t>
      </w:r>
      <w:r w:rsidRPr="005C275F">
        <w:rPr>
          <w:rFonts w:ascii="Century" w:hAnsi="Century" w:hint="cs"/>
          <w:sz w:val="22"/>
          <w:rtl/>
        </w:rPr>
        <w:t>פי</w:t>
      </w:r>
      <w:r w:rsidRPr="005C275F">
        <w:rPr>
          <w:rFonts w:ascii="Century" w:hAnsi="Century"/>
          <w:sz w:val="22"/>
          <w:rtl/>
        </w:rPr>
        <w:t xml:space="preserve">לוסוף הרומי בן המאה הרביעית והחמישית, מקרוביוס </w:t>
      </w:r>
      <w:r w:rsidRPr="005C275F">
        <w:rPr>
          <w:rFonts w:ascii="Century" w:hAnsi="Century" w:hint="cs"/>
          <w:sz w:val="22"/>
          <w:rtl/>
        </w:rPr>
        <w:t xml:space="preserve">א' </w:t>
      </w:r>
      <w:r w:rsidRPr="005C275F">
        <w:rPr>
          <w:rFonts w:ascii="Century" w:hAnsi="Century"/>
          <w:sz w:val="22"/>
          <w:rtl/>
        </w:rPr>
        <w:t>תאודו</w:t>
      </w:r>
      <w:r w:rsidRPr="005C275F">
        <w:rPr>
          <w:rFonts w:ascii="Century" w:hAnsi="Century" w:hint="cs"/>
          <w:sz w:val="22"/>
          <w:rtl/>
        </w:rPr>
        <w:t>ס</w:t>
      </w:r>
      <w:r w:rsidRPr="005C275F">
        <w:rPr>
          <w:rFonts w:ascii="Century" w:hAnsi="Century"/>
          <w:sz w:val="22"/>
          <w:rtl/>
        </w:rPr>
        <w:t xml:space="preserve">יוס, </w:t>
      </w:r>
      <w:r w:rsidRPr="005C275F">
        <w:rPr>
          <w:rFonts w:ascii="Century" w:hAnsi="Century" w:hint="cs"/>
          <w:sz w:val="22"/>
          <w:rtl/>
        </w:rPr>
        <w:t>מיוחסת האמירה כי "</w:t>
      </w:r>
      <w:r w:rsidRPr="00C725F2">
        <w:rPr>
          <w:rFonts w:ascii="Century" w:hAnsi="Century" w:cs="Miriam" w:hint="cs"/>
          <w:b/>
          <w:spacing w:val="0"/>
          <w:sz w:val="22"/>
          <w:szCs w:val="24"/>
          <w:rtl/>
        </w:rPr>
        <w:t>חוקים טובים מקורם בנֹהגי מוסר רעים</w:t>
      </w:r>
      <w:r w:rsidRPr="005C275F">
        <w:rPr>
          <w:rFonts w:ascii="Century" w:hAnsi="Century" w:hint="cs"/>
          <w:sz w:val="22"/>
          <w:rtl/>
        </w:rPr>
        <w:t>"</w:t>
      </w:r>
      <w:r>
        <w:rPr>
          <w:rFonts w:ascii="Century" w:hAnsi="Century" w:hint="cs"/>
          <w:sz w:val="22"/>
          <w:rtl/>
        </w:rPr>
        <w:t xml:space="preserve"> </w:t>
      </w:r>
      <w:r w:rsidRPr="005C275F">
        <w:rPr>
          <w:rFonts w:asciiTheme="minorHAnsi" w:hAnsiTheme="minorHAnsi" w:cstheme="minorHAnsi"/>
          <w:rtl/>
        </w:rPr>
        <w:t>(</w:t>
      </w:r>
      <w:r w:rsidRPr="005C275F">
        <w:rPr>
          <w:rFonts w:asciiTheme="minorHAnsi" w:hAnsiTheme="minorHAnsi" w:cstheme="minorHAnsi"/>
        </w:rPr>
        <w:t>"Good laws have their origins in bad morals"</w:t>
      </w:r>
      <w:r>
        <w:rPr>
          <w:rFonts w:asciiTheme="minorHAnsi" w:hAnsiTheme="minorHAnsi" w:cstheme="minorHAnsi" w:hint="cs"/>
          <w:rtl/>
        </w:rPr>
        <w:t>)</w:t>
      </w:r>
      <w:r>
        <w:rPr>
          <w:rFonts w:asciiTheme="minorHAnsi" w:hAnsiTheme="minorHAnsi" w:cstheme="minorHAnsi" w:hint="cs"/>
          <w:rtl/>
          <w:lang w:val="en"/>
        </w:rPr>
        <w:t xml:space="preserve">. </w:t>
      </w:r>
      <w:r w:rsidRPr="005C275F">
        <w:rPr>
          <w:rFonts w:ascii="Century" w:hAnsi="Century" w:hint="cs"/>
          <w:sz w:val="22"/>
          <w:rtl/>
        </w:rPr>
        <w:t>כוונת הדברים, כי מקום שבני החברה ומנהיגיה נוהגים ע</w:t>
      </w:r>
      <w:r>
        <w:rPr>
          <w:rFonts w:ascii="Century" w:hAnsi="Century" w:hint="cs"/>
          <w:sz w:val="22"/>
          <w:rtl/>
        </w:rPr>
        <w:t xml:space="preserve">ל-פי </w:t>
      </w:r>
      <w:r w:rsidRPr="005C275F">
        <w:rPr>
          <w:rFonts w:ascii="Century" w:hAnsi="Century" w:hint="cs"/>
          <w:sz w:val="22"/>
          <w:rtl/>
        </w:rPr>
        <w:t>אמות מידה מוסריות ראויות, לא מתעורר הצורך בחוקים (טובים) להסדיר כללי התנהגות אלה.</w:t>
      </w:r>
      <w:r w:rsidRPr="00D81574">
        <w:rPr>
          <w:rFonts w:ascii="Century" w:hAnsi="Century" w:hint="cs"/>
          <w:sz w:val="22"/>
          <w:rtl/>
        </w:rPr>
        <w:t xml:space="preserve"> </w:t>
      </w:r>
      <w:r w:rsidRPr="005C275F">
        <w:rPr>
          <w:rFonts w:ascii="Century" w:hAnsi="Century" w:hint="cs"/>
          <w:sz w:val="22"/>
          <w:rtl/>
        </w:rPr>
        <w:t xml:space="preserve">דומה שאין כמו המציאות הישראלית כדי להדגים את תוקפה ואמיתותה של </w:t>
      </w:r>
      <w:r>
        <w:rPr>
          <w:rFonts w:ascii="Century" w:hAnsi="Century" w:hint="cs"/>
          <w:sz w:val="22"/>
          <w:rtl/>
        </w:rPr>
        <w:t>אמירה</w:t>
      </w:r>
      <w:r w:rsidRPr="005C275F">
        <w:rPr>
          <w:rFonts w:ascii="Century" w:hAnsi="Century" w:hint="cs"/>
          <w:sz w:val="22"/>
          <w:rtl/>
        </w:rPr>
        <w:t xml:space="preserve"> זו. הוראות חוק שונות (כמו גם הלכות של </w:t>
      </w:r>
      <w:r>
        <w:rPr>
          <w:rFonts w:ascii="Century" w:hAnsi="Century" w:hint="cs"/>
          <w:sz w:val="22"/>
          <w:rtl/>
        </w:rPr>
        <w:t>בית משפט זה</w:t>
      </w:r>
      <w:r w:rsidRPr="005C275F">
        <w:rPr>
          <w:rFonts w:ascii="Century" w:hAnsi="Century" w:hint="cs"/>
          <w:sz w:val="22"/>
          <w:rtl/>
        </w:rPr>
        <w:t>) בתחום טוהר המידות</w:t>
      </w:r>
      <w:r>
        <w:rPr>
          <w:rFonts w:ascii="Century" w:hAnsi="Century" w:hint="cs"/>
          <w:sz w:val="22"/>
          <w:rtl/>
        </w:rPr>
        <w:t xml:space="preserve"> ותקינות פעילות השלטון</w:t>
      </w:r>
      <w:r w:rsidRPr="005C275F">
        <w:rPr>
          <w:rFonts w:ascii="Century" w:hAnsi="Century" w:hint="cs"/>
          <w:sz w:val="22"/>
          <w:rtl/>
        </w:rPr>
        <w:t>, נולדו על רקע התרחשותן של תופעות פסולות</w:t>
      </w:r>
      <w:r>
        <w:rPr>
          <w:rFonts w:ascii="Century" w:hAnsi="Century" w:hint="cs"/>
          <w:sz w:val="22"/>
          <w:rtl/>
        </w:rPr>
        <w:t xml:space="preserve">, </w:t>
      </w:r>
      <w:r w:rsidRPr="005C275F">
        <w:rPr>
          <w:rFonts w:ascii="Century" w:hAnsi="Century" w:hint="cs"/>
          <w:sz w:val="22"/>
          <w:rtl/>
        </w:rPr>
        <w:t xml:space="preserve">שלא נצפו </w:t>
      </w:r>
      <w:r>
        <w:rPr>
          <w:rFonts w:ascii="Century" w:hAnsi="Century" w:hint="cs"/>
          <w:sz w:val="22"/>
          <w:rtl/>
        </w:rPr>
        <w:t>על ידי</w:t>
      </w:r>
      <w:r w:rsidRPr="005C275F">
        <w:rPr>
          <w:rFonts w:ascii="Century" w:hAnsi="Century" w:hint="cs"/>
          <w:sz w:val="22"/>
          <w:rtl/>
        </w:rPr>
        <w:t xml:space="preserve"> ראשונים, ואלמלא תופעות אלה - במציאות טובה ומתוקנת יותר - כלל לא היינו נזקקים ל"חוקים טובים" אלה.</w:t>
      </w:r>
    </w:p>
    <w:p w:rsidR="004855BB" w:rsidRPr="005C275F" w:rsidRDefault="004855BB" w:rsidP="004855BB">
      <w:pPr>
        <w:spacing w:line="360" w:lineRule="auto"/>
        <w:jc w:val="both"/>
        <w:rPr>
          <w:rFonts w:ascii="Century" w:hAnsi="Century" w:cs="FrankRuehl"/>
          <w:spacing w:val="10"/>
          <w:sz w:val="22"/>
          <w:szCs w:val="28"/>
          <w:rtl/>
        </w:rPr>
      </w:pPr>
    </w:p>
    <w:p w:rsidR="004855BB" w:rsidRDefault="004855BB" w:rsidP="004855BB">
      <w:pPr>
        <w:tabs>
          <w:tab w:val="num" w:pos="1190"/>
        </w:tabs>
        <w:spacing w:line="360" w:lineRule="auto"/>
        <w:ind w:left="57"/>
        <w:jc w:val="both"/>
        <w:rPr>
          <w:rFonts w:ascii="Century" w:hAnsi="Century" w:cs="FrankRuehl"/>
          <w:spacing w:val="10"/>
          <w:sz w:val="22"/>
          <w:szCs w:val="28"/>
          <w:rtl/>
        </w:rPr>
      </w:pPr>
      <w:r>
        <w:rPr>
          <w:rFonts w:ascii="Century" w:hAnsi="Century" w:cs="FrankRuehl"/>
          <w:spacing w:val="10"/>
          <w:sz w:val="22"/>
          <w:szCs w:val="28"/>
          <w:rtl/>
        </w:rPr>
        <w:tab/>
      </w:r>
      <w:r>
        <w:rPr>
          <w:rFonts w:ascii="Century" w:hAnsi="Century" w:cs="FrankRuehl" w:hint="cs"/>
          <w:spacing w:val="10"/>
          <w:sz w:val="22"/>
          <w:szCs w:val="28"/>
          <w:rtl/>
        </w:rPr>
        <w:t xml:space="preserve">הדוגמא המובהקת ביותר לכך היא </w:t>
      </w:r>
      <w:r w:rsidRPr="00C61F5A">
        <w:rPr>
          <w:rFonts w:ascii="Century" w:hAnsi="Century" w:cs="FrankRuehl" w:hint="cs"/>
          <w:spacing w:val="10"/>
          <w:sz w:val="22"/>
          <w:szCs w:val="28"/>
          <w:rtl/>
        </w:rPr>
        <w:t>התפתחות הוראות פסלות</w:t>
      </w:r>
      <w:r>
        <w:rPr>
          <w:rFonts w:ascii="Century" w:hAnsi="Century" w:cs="FrankRuehl" w:hint="cs"/>
          <w:spacing w:val="10"/>
          <w:sz w:val="22"/>
          <w:szCs w:val="28"/>
          <w:rtl/>
        </w:rPr>
        <w:t xml:space="preserve"> כהונה</w:t>
      </w:r>
      <w:r w:rsidRPr="00C61F5A">
        <w:rPr>
          <w:rFonts w:ascii="Century" w:hAnsi="Century" w:cs="FrankRuehl" w:hint="cs"/>
          <w:spacing w:val="10"/>
          <w:sz w:val="22"/>
          <w:szCs w:val="28"/>
          <w:rtl/>
        </w:rPr>
        <w:t xml:space="preserve"> </w:t>
      </w:r>
      <w:r>
        <w:rPr>
          <w:rFonts w:ascii="Century" w:hAnsi="Century" w:cs="FrankRuehl" w:hint="cs"/>
          <w:spacing w:val="10"/>
          <w:sz w:val="22"/>
          <w:szCs w:val="28"/>
          <w:rtl/>
        </w:rPr>
        <w:t xml:space="preserve">והפסקת </w:t>
      </w:r>
      <w:r w:rsidRPr="00C61F5A">
        <w:rPr>
          <w:rFonts w:ascii="Century" w:hAnsi="Century" w:cs="FrankRuehl" w:hint="cs"/>
          <w:spacing w:val="10"/>
          <w:sz w:val="22"/>
          <w:szCs w:val="28"/>
          <w:rtl/>
        </w:rPr>
        <w:t xml:space="preserve">כהונה </w:t>
      </w:r>
      <w:r>
        <w:rPr>
          <w:rFonts w:ascii="Century" w:hAnsi="Century" w:cs="FrankRuehl" w:hint="cs"/>
          <w:spacing w:val="10"/>
          <w:sz w:val="22"/>
          <w:szCs w:val="28"/>
          <w:rtl/>
        </w:rPr>
        <w:t>בחוק יסוד</w:t>
      </w:r>
      <w:r w:rsidRPr="00C61F5A">
        <w:rPr>
          <w:rFonts w:ascii="Century" w:hAnsi="Century" w:cs="FrankRuehl" w:hint="cs"/>
          <w:spacing w:val="10"/>
          <w:sz w:val="22"/>
          <w:szCs w:val="28"/>
          <w:rtl/>
        </w:rPr>
        <w:t xml:space="preserve">: הממשלה </w:t>
      </w:r>
      <w:r>
        <w:rPr>
          <w:rFonts w:ascii="Century" w:hAnsi="Century" w:cs="FrankRuehl" w:hint="cs"/>
          <w:spacing w:val="10"/>
          <w:sz w:val="22"/>
          <w:szCs w:val="28"/>
          <w:rtl/>
        </w:rPr>
        <w:t xml:space="preserve">לדורותיו. בעוד </w:t>
      </w:r>
      <w:r w:rsidRPr="00C61F5A">
        <w:rPr>
          <w:rFonts w:ascii="Century" w:hAnsi="Century" w:cs="FrankRuehl" w:hint="cs"/>
          <w:spacing w:val="10"/>
          <w:sz w:val="22"/>
          <w:szCs w:val="28"/>
          <w:rtl/>
        </w:rPr>
        <w:t>חוק</w:t>
      </w:r>
      <w:r>
        <w:rPr>
          <w:rFonts w:ascii="Century" w:hAnsi="Century" w:cs="FrankRuehl" w:hint="cs"/>
          <w:spacing w:val="10"/>
          <w:sz w:val="22"/>
          <w:szCs w:val="28"/>
          <w:rtl/>
        </w:rPr>
        <w:t xml:space="preserve"> יסוד: הממשלה</w:t>
      </w:r>
      <w:r w:rsidRPr="00C61F5A">
        <w:rPr>
          <w:rFonts w:ascii="Century" w:hAnsi="Century" w:cs="FrankRuehl" w:hint="cs"/>
          <w:spacing w:val="10"/>
          <w:sz w:val="22"/>
          <w:szCs w:val="28"/>
          <w:rtl/>
        </w:rPr>
        <w:t xml:space="preserve"> המקורי מ- 1968 </w:t>
      </w:r>
      <w:r>
        <w:rPr>
          <w:rFonts w:ascii="Century" w:hAnsi="Century" w:cs="FrankRuehl" w:hint="cs"/>
          <w:spacing w:val="10"/>
          <w:szCs w:val="28"/>
          <w:rtl/>
        </w:rPr>
        <w:t xml:space="preserve">לא </w:t>
      </w:r>
      <w:r w:rsidRPr="00C61F5A">
        <w:rPr>
          <w:rFonts w:ascii="Century" w:hAnsi="Century" w:cs="FrankRuehl" w:hint="cs"/>
          <w:spacing w:val="10"/>
          <w:sz w:val="22"/>
          <w:szCs w:val="28"/>
          <w:rtl/>
        </w:rPr>
        <w:t xml:space="preserve">כלל </w:t>
      </w:r>
      <w:r>
        <w:rPr>
          <w:rFonts w:ascii="Century" w:hAnsi="Century" w:cs="FrankRuehl" w:hint="cs"/>
          <w:spacing w:val="10"/>
          <w:sz w:val="22"/>
          <w:szCs w:val="28"/>
          <w:rtl/>
        </w:rPr>
        <w:t xml:space="preserve">כל </w:t>
      </w:r>
      <w:r w:rsidRPr="00C61F5A">
        <w:rPr>
          <w:rFonts w:ascii="Century" w:hAnsi="Century" w:cs="FrankRuehl" w:hint="cs"/>
          <w:spacing w:val="10"/>
          <w:sz w:val="22"/>
          <w:szCs w:val="28"/>
          <w:rtl/>
        </w:rPr>
        <w:t>הורא</w:t>
      </w:r>
      <w:r>
        <w:rPr>
          <w:rFonts w:ascii="Century" w:hAnsi="Century" w:cs="FrankRuehl" w:hint="cs"/>
          <w:spacing w:val="10"/>
          <w:sz w:val="22"/>
          <w:szCs w:val="28"/>
          <w:rtl/>
        </w:rPr>
        <w:t>ה</w:t>
      </w:r>
      <w:r w:rsidRPr="00C61F5A">
        <w:rPr>
          <w:rFonts w:ascii="Century" w:hAnsi="Century" w:cs="FrankRuehl" w:hint="cs"/>
          <w:spacing w:val="10"/>
          <w:sz w:val="22"/>
          <w:szCs w:val="28"/>
          <w:rtl/>
        </w:rPr>
        <w:t xml:space="preserve"> העוסקת בחקירה</w:t>
      </w:r>
      <w:r>
        <w:rPr>
          <w:rFonts w:ascii="Century" w:hAnsi="Century" w:cs="FrankRuehl" w:hint="cs"/>
          <w:spacing w:val="10"/>
          <w:sz w:val="22"/>
          <w:szCs w:val="28"/>
          <w:rtl/>
        </w:rPr>
        <w:t xml:space="preserve"> פלילית</w:t>
      </w:r>
      <w:r w:rsidRPr="00C61F5A">
        <w:rPr>
          <w:rFonts w:ascii="Century" w:hAnsi="Century" w:cs="FrankRuehl" w:hint="cs"/>
          <w:spacing w:val="10"/>
          <w:sz w:val="22"/>
          <w:szCs w:val="28"/>
          <w:rtl/>
        </w:rPr>
        <w:t>, העמדה לדין</w:t>
      </w:r>
      <w:r>
        <w:rPr>
          <w:rFonts w:ascii="Century" w:hAnsi="Century" w:cs="FrankRuehl" w:hint="cs"/>
          <w:spacing w:val="10"/>
          <w:sz w:val="22"/>
          <w:szCs w:val="28"/>
          <w:rtl/>
        </w:rPr>
        <w:t>,</w:t>
      </w:r>
      <w:r w:rsidRPr="00C61F5A">
        <w:rPr>
          <w:rFonts w:ascii="Century" w:hAnsi="Century" w:cs="FrankRuehl" w:hint="cs"/>
          <w:spacing w:val="10"/>
          <w:sz w:val="22"/>
          <w:szCs w:val="28"/>
          <w:rtl/>
        </w:rPr>
        <w:t xml:space="preserve"> הרשעה </w:t>
      </w:r>
      <w:r>
        <w:rPr>
          <w:rFonts w:ascii="Century" w:hAnsi="Century" w:cs="FrankRuehl" w:hint="cs"/>
          <w:spacing w:val="10"/>
          <w:sz w:val="22"/>
          <w:szCs w:val="28"/>
          <w:rtl/>
        </w:rPr>
        <w:t>או הפסקת כהונה עקב אלה בנוגע ל</w:t>
      </w:r>
      <w:r w:rsidRPr="00C61F5A">
        <w:rPr>
          <w:rFonts w:ascii="Century" w:hAnsi="Century" w:cs="FrankRuehl" w:hint="cs"/>
          <w:spacing w:val="10"/>
          <w:sz w:val="22"/>
          <w:szCs w:val="28"/>
          <w:rtl/>
        </w:rPr>
        <w:t xml:space="preserve">שר או </w:t>
      </w:r>
      <w:r>
        <w:rPr>
          <w:rFonts w:ascii="Century" w:hAnsi="Century" w:cs="FrankRuehl" w:hint="cs"/>
          <w:spacing w:val="10"/>
          <w:sz w:val="22"/>
          <w:szCs w:val="28"/>
          <w:rtl/>
        </w:rPr>
        <w:t>ל</w:t>
      </w:r>
      <w:r w:rsidRPr="00C61F5A">
        <w:rPr>
          <w:rFonts w:ascii="Century" w:hAnsi="Century" w:cs="FrankRuehl" w:hint="cs"/>
          <w:spacing w:val="10"/>
          <w:sz w:val="22"/>
          <w:szCs w:val="28"/>
          <w:rtl/>
        </w:rPr>
        <w:t>ראש ממשלה</w:t>
      </w:r>
      <w:r>
        <w:rPr>
          <w:rFonts w:ascii="Century" w:hAnsi="Century" w:cs="FrankRuehl" w:hint="cs"/>
          <w:spacing w:val="10"/>
          <w:sz w:val="22"/>
          <w:szCs w:val="28"/>
          <w:rtl/>
        </w:rPr>
        <w:t>, הרי ש</w:t>
      </w:r>
      <w:r w:rsidRPr="00C61F5A">
        <w:rPr>
          <w:rFonts w:ascii="Century" w:hAnsi="Century" w:cs="FrankRuehl" w:hint="cs"/>
          <w:spacing w:val="10"/>
          <w:sz w:val="22"/>
          <w:szCs w:val="28"/>
          <w:rtl/>
        </w:rPr>
        <w:t>בחוק</w:t>
      </w:r>
      <w:r>
        <w:rPr>
          <w:rFonts w:ascii="Century" w:hAnsi="Century" w:cs="FrankRuehl" w:hint="cs"/>
          <w:spacing w:val="10"/>
          <w:sz w:val="22"/>
          <w:szCs w:val="28"/>
          <w:rtl/>
        </w:rPr>
        <w:t xml:space="preserve"> היסוד</w:t>
      </w:r>
      <w:r w:rsidRPr="00C61F5A">
        <w:rPr>
          <w:rFonts w:ascii="Century" w:hAnsi="Century" w:cs="FrankRuehl" w:hint="cs"/>
          <w:spacing w:val="10"/>
          <w:sz w:val="22"/>
          <w:szCs w:val="28"/>
          <w:rtl/>
        </w:rPr>
        <w:t xml:space="preserve"> מ- 1992 </w:t>
      </w:r>
      <w:r>
        <w:rPr>
          <w:rFonts w:ascii="Century" w:hAnsi="Century" w:cs="FrankRuehl" w:hint="cs"/>
          <w:spacing w:val="10"/>
          <w:sz w:val="22"/>
          <w:szCs w:val="28"/>
          <w:rtl/>
        </w:rPr>
        <w:t xml:space="preserve">(חוק הבחירה הישירה) </w:t>
      </w:r>
      <w:r>
        <w:rPr>
          <w:rFonts w:ascii="Century" w:hAnsi="Century" w:cs="FrankRuehl" w:hint="cs"/>
          <w:spacing w:val="10"/>
          <w:szCs w:val="28"/>
          <w:rtl/>
        </w:rPr>
        <w:t>נכללו</w:t>
      </w:r>
      <w:r w:rsidRPr="00C61F5A">
        <w:rPr>
          <w:rFonts w:ascii="Century" w:hAnsi="Century" w:cs="FrankRuehl" w:hint="cs"/>
          <w:spacing w:val="10"/>
          <w:sz w:val="22"/>
          <w:szCs w:val="28"/>
          <w:rtl/>
        </w:rPr>
        <w:t xml:space="preserve"> 3 סעיפים</w:t>
      </w:r>
      <w:r>
        <w:rPr>
          <w:rFonts w:ascii="Century" w:hAnsi="Century" w:cs="FrankRuehl" w:hint="cs"/>
          <w:spacing w:val="10"/>
          <w:szCs w:val="28"/>
          <w:rtl/>
        </w:rPr>
        <w:t xml:space="preserve"> שעסקו בכך (סעיפים 16(ב), 25 ו- 26)</w:t>
      </w:r>
      <w:r>
        <w:rPr>
          <w:rFonts w:ascii="Century" w:hAnsi="Century" w:cs="FrankRuehl" w:hint="cs"/>
          <w:spacing w:val="10"/>
          <w:sz w:val="22"/>
          <w:szCs w:val="28"/>
          <w:rtl/>
        </w:rPr>
        <w:t>,</w:t>
      </w:r>
      <w:r w:rsidRPr="00C61F5A">
        <w:rPr>
          <w:rFonts w:ascii="Century" w:hAnsi="Century" w:cs="FrankRuehl" w:hint="cs"/>
          <w:spacing w:val="10"/>
          <w:sz w:val="22"/>
          <w:szCs w:val="28"/>
          <w:rtl/>
        </w:rPr>
        <w:t xml:space="preserve"> </w:t>
      </w:r>
      <w:r>
        <w:rPr>
          <w:rFonts w:ascii="Century" w:hAnsi="Century" w:cs="FrankRuehl" w:hint="cs"/>
          <w:spacing w:val="10"/>
          <w:szCs w:val="28"/>
          <w:rtl/>
        </w:rPr>
        <w:t xml:space="preserve">ואילו </w:t>
      </w:r>
      <w:r w:rsidRPr="00C61F5A">
        <w:rPr>
          <w:rFonts w:ascii="Century" w:hAnsi="Century" w:cs="FrankRuehl" w:hint="cs"/>
          <w:spacing w:val="10"/>
          <w:sz w:val="22"/>
          <w:szCs w:val="28"/>
          <w:rtl/>
        </w:rPr>
        <w:t>חוק</w:t>
      </w:r>
      <w:r>
        <w:rPr>
          <w:rFonts w:ascii="Century" w:hAnsi="Century" w:cs="FrankRuehl" w:hint="cs"/>
          <w:spacing w:val="10"/>
          <w:szCs w:val="28"/>
          <w:rtl/>
        </w:rPr>
        <w:t xml:space="preserve"> יסוד: הממשלה הנוכחי</w:t>
      </w:r>
      <w:r w:rsidRPr="00C61F5A">
        <w:rPr>
          <w:rFonts w:ascii="Century" w:hAnsi="Century" w:cs="FrankRuehl" w:hint="cs"/>
          <w:spacing w:val="10"/>
          <w:sz w:val="22"/>
          <w:szCs w:val="28"/>
          <w:rtl/>
        </w:rPr>
        <w:t xml:space="preserve"> מ- 2001  </w:t>
      </w:r>
      <w:r>
        <w:rPr>
          <w:rFonts w:ascii="Century" w:hAnsi="Century" w:cs="FrankRuehl" w:hint="cs"/>
          <w:spacing w:val="10"/>
          <w:szCs w:val="28"/>
          <w:rtl/>
        </w:rPr>
        <w:t>כולל כבר הסדרה מפורטת</w:t>
      </w:r>
      <w:r w:rsidRPr="00C61F5A">
        <w:rPr>
          <w:rFonts w:ascii="Century" w:hAnsi="Century" w:cs="FrankRuehl" w:hint="cs"/>
          <w:spacing w:val="10"/>
          <w:sz w:val="22"/>
          <w:szCs w:val="28"/>
          <w:rtl/>
        </w:rPr>
        <w:t xml:space="preserve"> </w:t>
      </w:r>
      <w:r>
        <w:rPr>
          <w:rFonts w:ascii="Century" w:hAnsi="Century" w:cs="FrankRuehl" w:hint="cs"/>
          <w:spacing w:val="10"/>
          <w:sz w:val="22"/>
          <w:szCs w:val="28"/>
          <w:rtl/>
        </w:rPr>
        <w:t>ב- 6 סעיפים שונים</w:t>
      </w:r>
      <w:r w:rsidRPr="00C61F5A">
        <w:rPr>
          <w:rFonts w:ascii="Century" w:hAnsi="Century" w:cs="FrankRuehl" w:hint="cs"/>
          <w:spacing w:val="10"/>
          <w:sz w:val="22"/>
          <w:szCs w:val="28"/>
          <w:rtl/>
        </w:rPr>
        <w:t xml:space="preserve"> </w:t>
      </w:r>
      <w:r>
        <w:rPr>
          <w:rFonts w:ascii="Century" w:hAnsi="Century" w:cs="FrankRuehl" w:hint="cs"/>
          <w:spacing w:val="10"/>
          <w:sz w:val="22"/>
          <w:szCs w:val="28"/>
          <w:rtl/>
        </w:rPr>
        <w:t>(</w:t>
      </w:r>
      <w:r w:rsidRPr="00C61F5A">
        <w:rPr>
          <w:rFonts w:ascii="Century" w:hAnsi="Century" w:cs="FrankRuehl" w:hint="cs"/>
          <w:spacing w:val="10"/>
          <w:sz w:val="22"/>
          <w:szCs w:val="28"/>
          <w:rtl/>
        </w:rPr>
        <w:t>סעיפים</w:t>
      </w:r>
      <w:r>
        <w:rPr>
          <w:rFonts w:ascii="Century" w:hAnsi="Century" w:cs="FrankRuehl" w:hint="cs"/>
          <w:spacing w:val="10"/>
          <w:sz w:val="22"/>
          <w:szCs w:val="28"/>
          <w:rtl/>
        </w:rPr>
        <w:t xml:space="preserve"> 6(ג), 17, 18, 23, 27 ו- 30(ג)). והנה מסתבר כעת כי גם בכך אין כדי לענות על כל ה- "</w:t>
      </w:r>
      <w:r>
        <w:rPr>
          <w:rFonts w:ascii="Calibri" w:hAnsi="Calibri" w:cs="Calibri"/>
        </w:rPr>
        <w:t>"</w:t>
      </w:r>
      <w:r w:rsidRPr="00E52A0A">
        <w:rPr>
          <w:rFonts w:ascii="Calibri" w:hAnsi="Calibri" w:cs="Calibri"/>
        </w:rPr>
        <w:t>b</w:t>
      </w:r>
      <w:r w:rsidRPr="00684DD0">
        <w:rPr>
          <w:rFonts w:ascii="Calibri" w:hAnsi="Calibri" w:cs="Calibri"/>
          <w:sz w:val="24"/>
          <w:szCs w:val="32"/>
        </w:rPr>
        <w:t>ad morals</w:t>
      </w:r>
      <w:r>
        <w:rPr>
          <w:rFonts w:ascii="Century" w:hAnsi="Century" w:cs="FrankRuehl" w:hint="cs"/>
          <w:spacing w:val="10"/>
          <w:sz w:val="22"/>
          <w:szCs w:val="28"/>
          <w:rtl/>
        </w:rPr>
        <w:t>.</w:t>
      </w:r>
    </w:p>
    <w:p w:rsidR="004855BB" w:rsidRDefault="004855BB" w:rsidP="004855BB">
      <w:pPr>
        <w:tabs>
          <w:tab w:val="num" w:pos="1190"/>
        </w:tabs>
        <w:spacing w:line="360" w:lineRule="auto"/>
        <w:ind w:left="57"/>
        <w:jc w:val="both"/>
        <w:rPr>
          <w:rFonts w:ascii="Century" w:hAnsi="Century" w:cs="FrankRuehl"/>
          <w:spacing w:val="10"/>
          <w:sz w:val="22"/>
          <w:szCs w:val="28"/>
          <w:rtl/>
        </w:rPr>
      </w:pPr>
    </w:p>
    <w:p w:rsidR="004855BB" w:rsidRPr="00E52A0A" w:rsidRDefault="004855BB" w:rsidP="004855BB">
      <w:pPr>
        <w:tabs>
          <w:tab w:val="num" w:pos="1190"/>
        </w:tabs>
        <w:spacing w:line="360" w:lineRule="auto"/>
        <w:ind w:left="57"/>
        <w:jc w:val="both"/>
        <w:rPr>
          <w:rFonts w:ascii="Century" w:hAnsi="Century" w:cs="FrankRuehl"/>
          <w:spacing w:val="10"/>
          <w:sz w:val="22"/>
          <w:szCs w:val="28"/>
          <w:rtl/>
        </w:rPr>
      </w:pPr>
      <w:r>
        <w:rPr>
          <w:rFonts w:ascii="Century" w:hAnsi="Century" w:cs="FrankRuehl"/>
          <w:spacing w:val="10"/>
          <w:sz w:val="22"/>
          <w:szCs w:val="28"/>
          <w:rtl/>
        </w:rPr>
        <w:tab/>
      </w:r>
      <w:r>
        <w:rPr>
          <w:rFonts w:ascii="Century" w:hAnsi="Century" w:cs="FrankRuehl" w:hint="cs"/>
          <w:spacing w:val="10"/>
          <w:sz w:val="22"/>
          <w:szCs w:val="28"/>
          <w:rtl/>
        </w:rPr>
        <w:t>יש אפוא לקוות כי פרשה זו תוביל את הכנסת, בכובעה כרשות המכוננת,  לשקול מחדש את הצורך בהסדרה בחוק של הסוגיה הנדונה.</w:t>
      </w:r>
    </w:p>
    <w:p w:rsidR="004855BB" w:rsidRDefault="004855BB" w:rsidP="004855BB">
      <w:pPr>
        <w:pStyle w:val="Ruller4"/>
        <w:numPr>
          <w:ilvl w:val="0"/>
          <w:numId w:val="0"/>
        </w:numPr>
        <w:rPr>
          <w:rFonts w:ascii="Century" w:hAnsi="Century"/>
          <w:sz w:val="22"/>
          <w:rtl/>
        </w:rPr>
      </w:pPr>
    </w:p>
    <w:p w:rsidR="004855BB" w:rsidRDefault="004855BB" w:rsidP="004855BB">
      <w:pPr>
        <w:pStyle w:val="Ruller4"/>
        <w:overflowPunct/>
        <w:autoSpaceDE/>
        <w:autoSpaceDN/>
        <w:adjustRightInd/>
        <w:textAlignment w:val="auto"/>
        <w:rPr>
          <w:rFonts w:ascii="Century" w:hAnsi="Century"/>
          <w:sz w:val="22"/>
        </w:rPr>
      </w:pPr>
      <w:r w:rsidRPr="00696A49">
        <w:rPr>
          <w:rFonts w:ascii="Century" w:hAnsi="Century" w:hint="cs"/>
          <w:sz w:val="22"/>
          <w:rtl/>
        </w:rPr>
        <w:t xml:space="preserve">כמפורט בתמצית הנימוקים על ידי הנשיאה, שאלת הביקורת השיפוטית מתמקדת בבחינת שיקול הדעת של </w:t>
      </w:r>
      <w:r w:rsidRPr="00696A49">
        <w:rPr>
          <w:rFonts w:ascii="Century" w:hAnsi="Century"/>
          <w:sz w:val="22"/>
          <w:rtl/>
        </w:rPr>
        <w:t>חברי הכנסת בהמלצ</w:t>
      </w:r>
      <w:r w:rsidRPr="00696A49">
        <w:rPr>
          <w:rFonts w:ascii="Century" w:hAnsi="Century" w:hint="cs"/>
          <w:sz w:val="22"/>
          <w:rtl/>
        </w:rPr>
        <w:t>תם</w:t>
      </w:r>
      <w:r w:rsidRPr="00696A49">
        <w:rPr>
          <w:rFonts w:ascii="Century" w:hAnsi="Century"/>
          <w:sz w:val="22"/>
          <w:rtl/>
        </w:rPr>
        <w:t xml:space="preserve"> לנשיא</w:t>
      </w:r>
      <w:r w:rsidRPr="00696A49">
        <w:rPr>
          <w:rFonts w:ascii="Century" w:hAnsi="Century" w:hint="cs"/>
          <w:sz w:val="22"/>
          <w:rtl/>
        </w:rPr>
        <w:t xml:space="preserve"> להטיל על חבר הכנסת את מלאכת הרכבת הממשלה. שיקול </w:t>
      </w:r>
      <w:r>
        <w:rPr>
          <w:rFonts w:ascii="Century" w:hAnsi="Century" w:hint="cs"/>
          <w:sz w:val="22"/>
          <w:rtl/>
        </w:rPr>
        <w:t>ה</w:t>
      </w:r>
      <w:r w:rsidRPr="00696A49">
        <w:rPr>
          <w:rFonts w:ascii="Century" w:hAnsi="Century" w:hint="cs"/>
          <w:sz w:val="22"/>
          <w:rtl/>
        </w:rPr>
        <w:t xml:space="preserve">דעת </w:t>
      </w:r>
      <w:r>
        <w:rPr>
          <w:rFonts w:ascii="Century" w:hAnsi="Century" w:hint="cs"/>
          <w:sz w:val="22"/>
          <w:rtl/>
        </w:rPr>
        <w:t xml:space="preserve">של </w:t>
      </w:r>
      <w:r w:rsidRPr="00696A49">
        <w:rPr>
          <w:rFonts w:ascii="Century" w:hAnsi="Century" w:hint="cs"/>
          <w:sz w:val="22"/>
          <w:rtl/>
        </w:rPr>
        <w:t xml:space="preserve">חברי הכנסת בהמלצה לנשיא לענין הרכבת ממשלה - כמו גם שיקול דעתם </w:t>
      </w:r>
      <w:r w:rsidRPr="00696A49">
        <w:rPr>
          <w:rFonts w:ascii="Century" w:hAnsi="Century"/>
          <w:sz w:val="22"/>
          <w:rtl/>
        </w:rPr>
        <w:t>בהצ</w:t>
      </w:r>
      <w:r w:rsidRPr="00696A49">
        <w:rPr>
          <w:rFonts w:ascii="Century" w:hAnsi="Century" w:hint="cs"/>
          <w:sz w:val="22"/>
          <w:rtl/>
        </w:rPr>
        <w:t>ב</w:t>
      </w:r>
      <w:r w:rsidRPr="00696A49">
        <w:rPr>
          <w:rFonts w:ascii="Century" w:hAnsi="Century"/>
          <w:sz w:val="22"/>
          <w:rtl/>
        </w:rPr>
        <w:t>עת אמון</w:t>
      </w:r>
      <w:r w:rsidRPr="00696A49">
        <w:rPr>
          <w:rFonts w:ascii="Century" w:hAnsi="Century" w:hint="cs"/>
          <w:sz w:val="22"/>
          <w:rtl/>
        </w:rPr>
        <w:t>,</w:t>
      </w:r>
      <w:r w:rsidRPr="00696A49">
        <w:rPr>
          <w:rFonts w:ascii="Century" w:hAnsi="Century"/>
          <w:sz w:val="22"/>
          <w:rtl/>
        </w:rPr>
        <w:t xml:space="preserve"> או </w:t>
      </w:r>
      <w:r>
        <w:rPr>
          <w:rFonts w:ascii="Century" w:hAnsi="Century" w:hint="cs"/>
          <w:sz w:val="22"/>
          <w:rtl/>
        </w:rPr>
        <w:t xml:space="preserve">בהצבעת </w:t>
      </w:r>
      <w:r w:rsidRPr="00696A49">
        <w:rPr>
          <w:rFonts w:ascii="Century" w:hAnsi="Century"/>
          <w:sz w:val="22"/>
          <w:rtl/>
        </w:rPr>
        <w:t>אי-אמון</w:t>
      </w:r>
      <w:r>
        <w:rPr>
          <w:rFonts w:ascii="Century" w:hAnsi="Century" w:hint="cs"/>
          <w:sz w:val="22"/>
          <w:rtl/>
        </w:rPr>
        <w:t xml:space="preserve"> בממשלה</w:t>
      </w:r>
      <w:r w:rsidRPr="00696A49">
        <w:rPr>
          <w:rFonts w:ascii="Century" w:hAnsi="Century" w:hint="cs"/>
          <w:sz w:val="22"/>
          <w:rtl/>
        </w:rPr>
        <w:t xml:space="preserve"> -</w:t>
      </w:r>
      <w:r w:rsidRPr="00696A49">
        <w:rPr>
          <w:rFonts w:ascii="Century" w:hAnsi="Century"/>
          <w:sz w:val="22"/>
          <w:rtl/>
        </w:rPr>
        <w:t xml:space="preserve"> </w:t>
      </w:r>
      <w:r>
        <w:rPr>
          <w:rFonts w:ascii="Century" w:hAnsi="Century" w:hint="cs"/>
          <w:sz w:val="22"/>
          <w:rtl/>
        </w:rPr>
        <w:t>עניינו</w:t>
      </w:r>
      <w:r w:rsidRPr="00696A49">
        <w:rPr>
          <w:rFonts w:ascii="Century" w:hAnsi="Century" w:hint="cs"/>
          <w:sz w:val="22"/>
          <w:rtl/>
        </w:rPr>
        <w:t xml:space="preserve"> </w:t>
      </w:r>
      <w:r w:rsidRPr="00696A49">
        <w:rPr>
          <w:rFonts w:ascii="Century" w:hAnsi="Century"/>
          <w:sz w:val="22"/>
          <w:rtl/>
        </w:rPr>
        <w:t>בגרעין הקשה של תפקידם החוקתי-</w:t>
      </w:r>
      <w:r>
        <w:rPr>
          <w:rFonts w:ascii="Century" w:hAnsi="Century" w:hint="cs"/>
          <w:sz w:val="22"/>
          <w:rtl/>
        </w:rPr>
        <w:t>משטרי. שיקול דעת זה הוא פוליטי במהותו</w:t>
      </w:r>
      <w:r w:rsidRPr="00696A49">
        <w:rPr>
          <w:rFonts w:ascii="Century" w:hAnsi="Century"/>
          <w:sz w:val="22"/>
          <w:rtl/>
        </w:rPr>
        <w:t xml:space="preserve"> </w:t>
      </w:r>
      <w:r>
        <w:rPr>
          <w:rFonts w:ascii="Century" w:hAnsi="Century" w:hint="cs"/>
          <w:sz w:val="22"/>
          <w:rtl/>
        </w:rPr>
        <w:t xml:space="preserve">ומשקף את "רצון הבוחר", במובנו הבסיסי של מונח זה. </w:t>
      </w:r>
    </w:p>
    <w:p w:rsidR="004855BB" w:rsidRDefault="004855BB" w:rsidP="004855BB">
      <w:pPr>
        <w:pStyle w:val="Ruller4"/>
        <w:numPr>
          <w:ilvl w:val="0"/>
          <w:numId w:val="0"/>
        </w:numPr>
        <w:rPr>
          <w:rFonts w:ascii="Century" w:hAnsi="Century"/>
          <w:sz w:val="22"/>
          <w:rtl/>
        </w:rPr>
      </w:pPr>
    </w:p>
    <w:p w:rsidR="004855BB" w:rsidRDefault="004855BB" w:rsidP="004855BB">
      <w:pPr>
        <w:pStyle w:val="Ruller4"/>
        <w:numPr>
          <w:ilvl w:val="0"/>
          <w:numId w:val="0"/>
        </w:numPr>
        <w:rPr>
          <w:rFonts w:ascii="Century" w:hAnsi="Century"/>
          <w:sz w:val="22"/>
          <w:rtl/>
        </w:rPr>
      </w:pPr>
      <w:r>
        <w:rPr>
          <w:rFonts w:ascii="Century" w:hAnsi="Century"/>
          <w:sz w:val="22"/>
          <w:rtl/>
        </w:rPr>
        <w:tab/>
      </w:r>
      <w:r>
        <w:rPr>
          <w:rFonts w:ascii="Century" w:hAnsi="Century" w:hint="cs"/>
          <w:sz w:val="22"/>
          <w:rtl/>
        </w:rPr>
        <w:t>שיקול דעת כזה לא נתון, ככלל, לביקורת שיפוטית על פי כללי הביקורת של המשפט המינהלי, בהעדר</w:t>
      </w:r>
      <w:r w:rsidRPr="0018702D">
        <w:rPr>
          <w:rFonts w:ascii="Century" w:hAnsi="Century"/>
          <w:sz w:val="22"/>
          <w:rtl/>
        </w:rPr>
        <w:t xml:space="preserve"> </w:t>
      </w:r>
      <w:r w:rsidRPr="00696A49">
        <w:rPr>
          <w:rFonts w:ascii="Century" w:hAnsi="Century"/>
          <w:sz w:val="22"/>
          <w:rtl/>
        </w:rPr>
        <w:t>הוראה בחוק</w:t>
      </w:r>
      <w:r>
        <w:rPr>
          <w:rFonts w:ascii="Century" w:hAnsi="Century" w:hint="cs"/>
          <w:sz w:val="22"/>
          <w:rtl/>
        </w:rPr>
        <w:t xml:space="preserve"> לענין זה. בכגון דא חלה לדעתי דוקטרינת </w:t>
      </w:r>
      <w:r w:rsidRPr="00C725F2">
        <w:rPr>
          <w:rFonts w:ascii="Century" w:hAnsi="Century" w:cs="Miriam" w:hint="cs"/>
          <w:b/>
          <w:spacing w:val="0"/>
          <w:sz w:val="22"/>
          <w:szCs w:val="24"/>
          <w:rtl/>
        </w:rPr>
        <w:t>אי-השפיטות המוסדית</w:t>
      </w:r>
      <w:r>
        <w:rPr>
          <w:rFonts w:ascii="Century" w:hAnsi="Century" w:hint="cs"/>
          <w:sz w:val="22"/>
          <w:rtl/>
        </w:rPr>
        <w:t xml:space="preserve"> (להבדיל מאי שפיטות נורמטיבית), כנגזרת של מבחן האופי הדומיננטי של הנושא, בהתאם לאמות המידה שהותוו על ידי הנשיא </w:t>
      </w:r>
      <w:r w:rsidRPr="00C725F2">
        <w:rPr>
          <w:rFonts w:ascii="Century" w:hAnsi="Century" w:cs="Miriam" w:hint="cs"/>
          <w:b/>
          <w:spacing w:val="0"/>
          <w:sz w:val="22"/>
          <w:szCs w:val="24"/>
          <w:rtl/>
        </w:rPr>
        <w:t>שמגר</w:t>
      </w:r>
      <w:r w:rsidRPr="00C725F2">
        <w:rPr>
          <w:rFonts w:ascii="Century" w:hAnsi="Century" w:cs="Miriam" w:hint="cs"/>
          <w:b/>
          <w:sz w:val="22"/>
          <w:rtl/>
        </w:rPr>
        <w:t xml:space="preserve"> </w:t>
      </w:r>
      <w:r>
        <w:rPr>
          <w:rFonts w:ascii="Century" w:hAnsi="Century" w:hint="cs"/>
          <w:sz w:val="22"/>
          <w:rtl/>
        </w:rPr>
        <w:t xml:space="preserve">בענין </w:t>
      </w:r>
      <w:r w:rsidRPr="00C725F2">
        <w:rPr>
          <w:rFonts w:ascii="Century" w:hAnsi="Century" w:cs="Miriam" w:hint="cs"/>
          <w:b/>
          <w:spacing w:val="0"/>
          <w:sz w:val="22"/>
          <w:szCs w:val="24"/>
          <w:rtl/>
        </w:rPr>
        <w:t>רסלר</w:t>
      </w:r>
      <w:r w:rsidRPr="00C725F2">
        <w:rPr>
          <w:rFonts w:ascii="Century" w:hAnsi="Century" w:hint="cs"/>
          <w:sz w:val="22"/>
          <w:rtl/>
        </w:rPr>
        <w:t xml:space="preserve"> </w:t>
      </w:r>
      <w:r>
        <w:rPr>
          <w:rFonts w:ascii="Century" w:hAnsi="Century" w:hint="cs"/>
          <w:sz w:val="22"/>
          <w:rtl/>
        </w:rPr>
        <w:t>(</w:t>
      </w:r>
      <w:r w:rsidRPr="0018702D">
        <w:rPr>
          <w:rFonts w:ascii="Century" w:hAnsi="Century"/>
          <w:sz w:val="22"/>
          <w:rtl/>
        </w:rPr>
        <w:t>בג"ץ 910/86</w:t>
      </w:r>
      <w:r w:rsidRPr="0018702D">
        <w:rPr>
          <w:rFonts w:ascii="Century" w:hAnsi="Century"/>
          <w:rtl/>
        </w:rPr>
        <w:t xml:space="preserve"> </w:t>
      </w:r>
      <w:r w:rsidRPr="00C725F2">
        <w:rPr>
          <w:rFonts w:ascii="Century" w:hAnsi="Century" w:cs="Miriam"/>
          <w:b/>
          <w:spacing w:val="0"/>
          <w:sz w:val="22"/>
          <w:szCs w:val="24"/>
          <w:rtl/>
        </w:rPr>
        <w:t>רסלר נ' שר הבטחון</w:t>
      </w:r>
      <w:r w:rsidRPr="0018702D">
        <w:rPr>
          <w:rFonts w:ascii="Century" w:hAnsi="Century"/>
          <w:rtl/>
        </w:rPr>
        <w:t>, פ"ד מב(2) 441</w:t>
      </w:r>
      <w:r w:rsidRPr="0018702D">
        <w:rPr>
          <w:rFonts w:ascii="Century" w:hAnsi="Century" w:hint="cs"/>
          <w:rtl/>
        </w:rPr>
        <w:t xml:space="preserve">, 521-524 (1988), להלן: ענין </w:t>
      </w:r>
      <w:r w:rsidRPr="00C725F2">
        <w:rPr>
          <w:rFonts w:ascii="Century" w:hAnsi="Century" w:cs="Miriam" w:hint="cs"/>
          <w:b/>
          <w:spacing w:val="0"/>
          <w:sz w:val="22"/>
          <w:szCs w:val="24"/>
          <w:rtl/>
        </w:rPr>
        <w:t>רסלר</w:t>
      </w:r>
      <w:r w:rsidRPr="0018702D">
        <w:rPr>
          <w:rFonts w:ascii="Century" w:hAnsi="Century" w:hint="cs"/>
          <w:rtl/>
        </w:rPr>
        <w:t>)</w:t>
      </w:r>
      <w:r>
        <w:rPr>
          <w:rFonts w:ascii="Century" w:hAnsi="Century" w:hint="cs"/>
          <w:rtl/>
        </w:rPr>
        <w:t xml:space="preserve">. וכפי שהובהר שם, מבחן </w:t>
      </w:r>
      <w:r w:rsidRPr="00E7347E">
        <w:rPr>
          <w:rFonts w:ascii="Century" w:hAnsi="Century"/>
          <w:spacing w:val="6"/>
          <w:sz w:val="22"/>
          <w:rtl/>
        </w:rPr>
        <w:t xml:space="preserve">השפיטות המוסדית </w:t>
      </w:r>
      <w:r>
        <w:rPr>
          <w:rFonts w:ascii="Century" w:hAnsi="Century" w:hint="cs"/>
          <w:spacing w:val="6"/>
          <w:sz w:val="22"/>
          <w:rtl/>
        </w:rPr>
        <w:t>עשוי</w:t>
      </w:r>
      <w:r w:rsidRPr="00E7347E">
        <w:rPr>
          <w:rFonts w:ascii="Century" w:hAnsi="Century"/>
          <w:spacing w:val="6"/>
          <w:sz w:val="22"/>
          <w:rtl/>
        </w:rPr>
        <w:t xml:space="preserve"> להביא </w:t>
      </w:r>
      <w:r>
        <w:rPr>
          <w:rFonts w:ascii="Century" w:hAnsi="Century" w:hint="cs"/>
          <w:spacing w:val="6"/>
          <w:sz w:val="22"/>
          <w:rtl/>
        </w:rPr>
        <w:t xml:space="preserve">את בית המשפט </w:t>
      </w:r>
      <w:r w:rsidRPr="00E7347E">
        <w:rPr>
          <w:rFonts w:ascii="Century" w:hAnsi="Century"/>
          <w:spacing w:val="6"/>
          <w:sz w:val="22"/>
          <w:rtl/>
        </w:rPr>
        <w:t>למסקנה</w:t>
      </w:r>
      <w:r>
        <w:rPr>
          <w:rFonts w:ascii="Century" w:hAnsi="Century" w:hint="cs"/>
          <w:sz w:val="22"/>
          <w:rtl/>
        </w:rPr>
        <w:t xml:space="preserve"> - </w:t>
      </w:r>
    </w:p>
    <w:p w:rsidR="004855BB" w:rsidRDefault="004855BB" w:rsidP="004855BB">
      <w:pPr>
        <w:pStyle w:val="Ruller4"/>
        <w:numPr>
          <w:ilvl w:val="0"/>
          <w:numId w:val="0"/>
        </w:numPr>
        <w:rPr>
          <w:rFonts w:ascii="Century" w:hAnsi="Century"/>
          <w:sz w:val="22"/>
          <w:rtl/>
        </w:rPr>
      </w:pPr>
    </w:p>
    <w:p w:rsidR="004855BB" w:rsidRDefault="004855BB" w:rsidP="004855BB">
      <w:pPr>
        <w:pStyle w:val="Ruller5"/>
        <w:spacing w:line="276" w:lineRule="auto"/>
        <w:rPr>
          <w:rFonts w:ascii="Century" w:hAnsi="Century"/>
          <w:spacing w:val="6"/>
          <w:rtl/>
        </w:rPr>
      </w:pPr>
      <w:r>
        <w:rPr>
          <w:rFonts w:ascii="Century" w:hAnsi="Century" w:hint="cs"/>
          <w:spacing w:val="6"/>
          <w:rtl/>
        </w:rPr>
        <w:t>"...</w:t>
      </w:r>
      <w:r w:rsidRPr="00E7347E">
        <w:rPr>
          <w:rFonts w:ascii="Century" w:hAnsi="Century"/>
          <w:spacing w:val="6"/>
          <w:rtl/>
        </w:rPr>
        <w:t xml:space="preserve"> כי אין זה נכון שבית המשפט ידון בסבירותו של עניין פלוני, למרות שניתן לסווגו בין העניינים היכולים להיבחן לפי מבחני השפיטות הנורמאטיבית. מבחן השפיטות המוסדית נותן מקום להפעלתו של הריסון ביחסים בין רשויות השלטון לבין עצמן, ריסון המאפשר מסירתה של בעיה פוליטית להכרעתם של גורמים פוליטיים</w:t>
      </w:r>
      <w:r>
        <w:rPr>
          <w:rFonts w:ascii="Century" w:hAnsi="Century" w:hint="cs"/>
          <w:spacing w:val="6"/>
          <w:rtl/>
        </w:rPr>
        <w:t>" (שם בעמ' 520).</w:t>
      </w:r>
    </w:p>
    <w:p w:rsidR="004855BB" w:rsidRDefault="004855BB" w:rsidP="004855BB">
      <w:pPr>
        <w:pStyle w:val="Ruller5"/>
        <w:spacing w:after="120"/>
        <w:rPr>
          <w:rFonts w:ascii="Century" w:hAnsi="Century"/>
          <w:spacing w:val="6"/>
          <w:rtl/>
        </w:rPr>
      </w:pPr>
    </w:p>
    <w:p w:rsidR="004855BB" w:rsidRDefault="004855BB" w:rsidP="004855BB">
      <w:pPr>
        <w:pStyle w:val="Ruller5"/>
        <w:spacing w:line="276" w:lineRule="auto"/>
        <w:ind w:left="794"/>
        <w:rPr>
          <w:rFonts w:ascii="Century" w:hAnsi="Century"/>
          <w:rtl/>
        </w:rPr>
      </w:pPr>
      <w:r>
        <w:rPr>
          <w:rFonts w:ascii="Century" w:hAnsi="Century" w:hint="cs"/>
          <w:spacing w:val="6"/>
          <w:rtl/>
        </w:rPr>
        <w:t xml:space="preserve">לצד זאת הדגיש הנשיא </w:t>
      </w:r>
      <w:r w:rsidRPr="008E43EF">
        <w:rPr>
          <w:rFonts w:ascii="Century" w:hAnsi="Century" w:cs="Miriam" w:hint="cs"/>
          <w:b/>
          <w:spacing w:val="0"/>
          <w:szCs w:val="24"/>
          <w:rtl/>
        </w:rPr>
        <w:t>שמגר</w:t>
      </w:r>
      <w:r w:rsidRPr="008E43EF">
        <w:rPr>
          <w:rFonts w:ascii="Century" w:hAnsi="Century" w:cs="Miriam" w:hint="cs"/>
          <w:b/>
          <w:rtl/>
        </w:rPr>
        <w:t xml:space="preserve"> </w:t>
      </w:r>
      <w:r w:rsidRPr="00E97AD2">
        <w:rPr>
          <w:rFonts w:ascii="Century" w:hAnsi="Century" w:hint="cs"/>
          <w:rtl/>
        </w:rPr>
        <w:t xml:space="preserve">כי </w:t>
      </w:r>
      <w:r>
        <w:rPr>
          <w:rFonts w:ascii="Century" w:hAnsi="Century"/>
          <w:rtl/>
        </w:rPr>
        <w:t>–</w:t>
      </w:r>
    </w:p>
    <w:p w:rsidR="004855BB" w:rsidRPr="00E97AD2" w:rsidRDefault="004855BB" w:rsidP="004855BB">
      <w:pPr>
        <w:pStyle w:val="Ruller5"/>
        <w:ind w:left="794"/>
        <w:rPr>
          <w:rFonts w:ascii="Century" w:hAnsi="Century"/>
          <w:rtl/>
        </w:rPr>
      </w:pPr>
    </w:p>
    <w:p w:rsidR="004855BB" w:rsidRPr="00E7347E" w:rsidRDefault="004855BB" w:rsidP="004855BB">
      <w:pPr>
        <w:pStyle w:val="Ruller5"/>
        <w:spacing w:line="276" w:lineRule="auto"/>
        <w:rPr>
          <w:rFonts w:ascii="Century" w:hAnsi="Century"/>
          <w:spacing w:val="6"/>
          <w:rtl/>
        </w:rPr>
      </w:pPr>
      <w:r w:rsidRPr="00E7347E">
        <w:rPr>
          <w:rFonts w:ascii="Century" w:hAnsi="Century"/>
          <w:spacing w:val="6"/>
          <w:rtl/>
        </w:rPr>
        <w:t>ההכרה בקיומו של סייג השפיטות היכול להביא, בנסיבות</w:t>
      </w:r>
      <w:r w:rsidRPr="00E7347E">
        <w:rPr>
          <w:rFonts w:ascii="Century" w:hAnsi="Century" w:hint="cs"/>
          <w:spacing w:val="6"/>
          <w:rtl/>
        </w:rPr>
        <w:t xml:space="preserve"> </w:t>
      </w:r>
      <w:r w:rsidRPr="00E7347E">
        <w:rPr>
          <w:rFonts w:ascii="Century" w:hAnsi="Century"/>
          <w:spacing w:val="6"/>
          <w:rtl/>
        </w:rPr>
        <w:t>ראויות</w:t>
      </w:r>
      <w:r>
        <w:rPr>
          <w:rFonts w:ascii="Century" w:hAnsi="Century" w:hint="cs"/>
          <w:spacing w:val="6"/>
          <w:rtl/>
        </w:rPr>
        <w:t>,</w:t>
      </w:r>
      <w:r w:rsidRPr="00E7347E">
        <w:rPr>
          <w:rFonts w:ascii="Century" w:hAnsi="Century"/>
          <w:spacing w:val="6"/>
          <w:rtl/>
        </w:rPr>
        <w:t xml:space="preserve"> להימנעותו של בית המשפט מן הנכונות לדון בבעיה פוליטית, כלכלית או ציבורית אחרת, איננה מחלישה את עקרון הפיקוח והביקורת השיפוטיים אלא מחזקת אותו, כי היא קובעת לו גבולות סבירים</w:t>
      </w:r>
      <w:r>
        <w:rPr>
          <w:rFonts w:ascii="Century" w:hAnsi="Century" w:hint="cs"/>
          <w:spacing w:val="6"/>
          <w:rtl/>
        </w:rPr>
        <w:t>" (שם בעמ' 520, 523).</w:t>
      </w:r>
      <w:r w:rsidRPr="00E7347E">
        <w:rPr>
          <w:rFonts w:ascii="Century" w:hAnsi="Century"/>
          <w:spacing w:val="6"/>
          <w:rtl/>
        </w:rPr>
        <w:t>.</w:t>
      </w:r>
    </w:p>
    <w:p w:rsidR="004855BB" w:rsidRPr="008E43EF" w:rsidRDefault="004855BB" w:rsidP="004855BB">
      <w:pPr>
        <w:pStyle w:val="Ruller4"/>
        <w:numPr>
          <w:ilvl w:val="0"/>
          <w:numId w:val="0"/>
        </w:numPr>
        <w:rPr>
          <w:rFonts w:ascii="Century" w:hAnsi="Century"/>
          <w:szCs w:val="32"/>
          <w:rtl/>
        </w:rPr>
      </w:pPr>
    </w:p>
    <w:p w:rsidR="004855BB" w:rsidRDefault="004855BB" w:rsidP="004855BB">
      <w:pPr>
        <w:pStyle w:val="Ruller4"/>
        <w:numPr>
          <w:ilvl w:val="0"/>
          <w:numId w:val="0"/>
        </w:numPr>
        <w:rPr>
          <w:rFonts w:ascii="Century" w:hAnsi="Century"/>
          <w:sz w:val="22"/>
          <w:rtl/>
        </w:rPr>
      </w:pPr>
      <w:r>
        <w:rPr>
          <w:rFonts w:ascii="Century" w:hAnsi="Century"/>
          <w:rtl/>
        </w:rPr>
        <w:tab/>
      </w:r>
      <w:r>
        <w:rPr>
          <w:rFonts w:ascii="Century" w:hAnsi="Century" w:hint="cs"/>
          <w:rtl/>
        </w:rPr>
        <w:t>ודוק: הפעלת הדוקטרינה</w:t>
      </w:r>
      <w:r>
        <w:rPr>
          <w:rFonts w:ascii="Century" w:hAnsi="Century" w:hint="cs"/>
          <w:sz w:val="22"/>
          <w:rtl/>
        </w:rPr>
        <w:t xml:space="preserve"> של אי-שפיטות </w:t>
      </w:r>
      <w:r w:rsidRPr="00C725F2">
        <w:rPr>
          <w:rFonts w:ascii="Century" w:hAnsi="Century" w:cs="Miriam" w:hint="cs"/>
          <w:b/>
          <w:spacing w:val="0"/>
          <w:sz w:val="22"/>
          <w:szCs w:val="24"/>
          <w:rtl/>
        </w:rPr>
        <w:t>מוסדית</w:t>
      </w:r>
      <w:r w:rsidRPr="00C725F2">
        <w:rPr>
          <w:rFonts w:ascii="Century" w:hAnsi="Century" w:hint="cs"/>
          <w:sz w:val="22"/>
          <w:rtl/>
        </w:rPr>
        <w:t xml:space="preserve"> </w:t>
      </w:r>
      <w:r>
        <w:rPr>
          <w:rFonts w:ascii="Century" w:hAnsi="Century" w:hint="cs"/>
          <w:sz w:val="22"/>
          <w:rtl/>
        </w:rPr>
        <w:t xml:space="preserve">על החלטות מהסוג האמור אינה שוללת מבית המשפט את שיקול דעתו - </w:t>
      </w:r>
      <w:r w:rsidRPr="00E97AD2">
        <w:rPr>
          <w:rFonts w:ascii="Century" w:hAnsi="Century" w:hint="cs"/>
          <w:sz w:val="22"/>
          <w:rtl/>
        </w:rPr>
        <w:t>באותם "מצבים חריגים ונדירים ביותר"</w:t>
      </w:r>
      <w:r>
        <w:rPr>
          <w:rFonts w:ascii="Century" w:hAnsi="Century" w:hint="cs"/>
          <w:sz w:val="22"/>
          <w:rtl/>
        </w:rPr>
        <w:t>, כאמור בפסקה 17 לתמצית הנימוקים - מלהפעיל ביקורת שיפוטית, ככל שיגיע למסקנה שיש הצדקה לכך למרות כלל הריסון בין הרשויות.</w:t>
      </w:r>
    </w:p>
    <w:p w:rsidR="004855BB" w:rsidRPr="00976EC2" w:rsidRDefault="004855BB" w:rsidP="004855BB">
      <w:pPr>
        <w:pStyle w:val="Ruller40"/>
        <w:rPr>
          <w:rtl/>
        </w:rPr>
      </w:pPr>
    </w:p>
    <w:p w:rsidR="004855BB" w:rsidRDefault="004855BB" w:rsidP="004855BB">
      <w:pPr>
        <w:pStyle w:val="Ruller4"/>
        <w:overflowPunct/>
        <w:autoSpaceDE/>
        <w:autoSpaceDN/>
        <w:adjustRightInd/>
        <w:textAlignment w:val="auto"/>
        <w:rPr>
          <w:rFonts w:ascii="Century" w:hAnsi="Century"/>
          <w:sz w:val="22"/>
          <w:rtl/>
        </w:rPr>
      </w:pPr>
      <w:r>
        <w:rPr>
          <w:rFonts w:ascii="Century" w:hAnsi="Century" w:hint="cs"/>
          <w:sz w:val="22"/>
          <w:rtl/>
        </w:rPr>
        <w:t xml:space="preserve">הטיעון בו נקטו העותרים לגבי ביקורת שיקול הדעת של </w:t>
      </w:r>
      <w:r w:rsidRPr="00C725F2">
        <w:rPr>
          <w:rFonts w:ascii="Century" w:hAnsi="Century" w:cs="Miriam" w:hint="cs"/>
          <w:b/>
          <w:spacing w:val="0"/>
          <w:sz w:val="22"/>
          <w:szCs w:val="24"/>
          <w:rtl/>
        </w:rPr>
        <w:t>המועמד</w:t>
      </w:r>
      <w:r w:rsidRPr="00C725F2">
        <w:rPr>
          <w:rFonts w:ascii="Century" w:hAnsi="Century" w:cs="Miriam" w:hint="cs"/>
          <w:b/>
          <w:sz w:val="22"/>
          <w:rtl/>
        </w:rPr>
        <w:t xml:space="preserve"> </w:t>
      </w:r>
      <w:r>
        <w:rPr>
          <w:rFonts w:ascii="Century" w:hAnsi="Century" w:hint="cs"/>
          <w:sz w:val="22"/>
          <w:rtl/>
        </w:rPr>
        <w:t xml:space="preserve">עצמו, הוא בעיני טיעון מלאכותי המעורר קושי במישורים שונים. מועמד המקבל על עצמו תפקיד או משרה, אינו מפעיל שיקול דעת בגדר סמכותו כרשות שלטונית, אלא מקבל החלטה </w:t>
      </w:r>
      <w:r>
        <w:rPr>
          <w:rFonts w:ascii="Century" w:hAnsi="Century" w:cs="Miriam" w:hint="cs"/>
          <w:b/>
          <w:sz w:val="22"/>
          <w:rtl/>
        </w:rPr>
        <w:t>אישית</w:t>
      </w:r>
      <w:r>
        <w:rPr>
          <w:rFonts w:ascii="Century" w:hAnsi="Century" w:hint="cs"/>
          <w:sz w:val="22"/>
          <w:rtl/>
        </w:rPr>
        <w:t>, כמועמד. אין זה גם ראוי להטיל על אדם ולצפות ממנו "לפסול את עצמו", כאשר ניתן לערוך ביקורת שיפוטית על החלטת הגורם בעל סמכות המינוי (או הפיטורין). אין זה מקרה שהעותרים לא הציגו כל תקדים מהפסיקה העניפה של בית משפט זה בנושא ביקורת מינויים למשרות ציבוריות, בו מוקדה הביקורת השיפוטית בהחלטתו של המועמד עצמו.</w:t>
      </w:r>
    </w:p>
    <w:p w:rsidR="004855BB" w:rsidRPr="00976EC2" w:rsidRDefault="004855BB" w:rsidP="004855BB">
      <w:pPr>
        <w:pStyle w:val="Ruller40"/>
        <w:rPr>
          <w:rtl/>
        </w:rPr>
      </w:pPr>
    </w:p>
    <w:p w:rsidR="004855BB" w:rsidRPr="00696A49" w:rsidRDefault="004855BB" w:rsidP="004855BB">
      <w:pPr>
        <w:pStyle w:val="Ruller4"/>
        <w:overflowPunct/>
        <w:autoSpaceDE/>
        <w:autoSpaceDN/>
        <w:adjustRightInd/>
        <w:textAlignment w:val="auto"/>
        <w:rPr>
          <w:rFonts w:ascii="Century" w:hAnsi="Century"/>
          <w:sz w:val="22"/>
        </w:rPr>
      </w:pPr>
      <w:r>
        <w:rPr>
          <w:rFonts w:ascii="Century" w:hAnsi="Century" w:hint="cs"/>
          <w:sz w:val="22"/>
          <w:rtl/>
        </w:rPr>
        <w:t>והערה אחרונה בהקשר זה: השיקול בדבר "</w:t>
      </w:r>
      <w:r w:rsidRPr="00C725F2">
        <w:rPr>
          <w:rFonts w:ascii="Century" w:hAnsi="Century" w:cs="Miriam"/>
          <w:b/>
          <w:spacing w:val="0"/>
          <w:sz w:val="22"/>
          <w:szCs w:val="24"/>
          <w:rtl/>
        </w:rPr>
        <w:t>פגיעה באמון הציבור</w:t>
      </w:r>
      <w:r>
        <w:rPr>
          <w:rFonts w:ascii="Century" w:hAnsi="Century" w:hint="cs"/>
          <w:sz w:val="22"/>
          <w:rtl/>
        </w:rPr>
        <w:t>" כתוצאה ממעשים של פגיעה בטוהר המידות של פרנסי הציבור,</w:t>
      </w:r>
      <w:r w:rsidRPr="00696A49">
        <w:rPr>
          <w:rFonts w:ascii="Century" w:hAnsi="Century"/>
          <w:sz w:val="22"/>
          <w:rtl/>
        </w:rPr>
        <w:t xml:space="preserve"> </w:t>
      </w:r>
      <w:r>
        <w:rPr>
          <w:rFonts w:ascii="Century" w:hAnsi="Century" w:hint="cs"/>
          <w:sz w:val="22"/>
          <w:rtl/>
        </w:rPr>
        <w:t xml:space="preserve">עליו עמד בית משפט זה בפסיקה העניפה הנוגעת להפעלת שיקול דעת בקשר עם מינוי או הפסקת כהונה, אינו </w:t>
      </w:r>
      <w:r w:rsidRPr="00696A49">
        <w:rPr>
          <w:rFonts w:ascii="Century" w:hAnsi="Century"/>
          <w:sz w:val="22"/>
          <w:rtl/>
        </w:rPr>
        <w:t>בגדר דברים בעלמא</w:t>
      </w:r>
      <w:r>
        <w:rPr>
          <w:rFonts w:ascii="Century" w:hAnsi="Century" w:hint="cs"/>
          <w:sz w:val="22"/>
          <w:rtl/>
        </w:rPr>
        <w:t xml:space="preserve"> לתפארת המליצה. מדובר בשיקול כבד משקל</w:t>
      </w:r>
      <w:r w:rsidRPr="00696A49">
        <w:rPr>
          <w:rFonts w:ascii="Century" w:hAnsi="Century"/>
          <w:sz w:val="22"/>
          <w:rtl/>
        </w:rPr>
        <w:t xml:space="preserve"> </w:t>
      </w:r>
      <w:r>
        <w:rPr>
          <w:rFonts w:ascii="Century" w:hAnsi="Century" w:hint="cs"/>
          <w:sz w:val="22"/>
          <w:rtl/>
        </w:rPr>
        <w:t>-</w:t>
      </w:r>
    </w:p>
    <w:p w:rsidR="004855BB" w:rsidRDefault="004855BB" w:rsidP="004855BB">
      <w:pPr>
        <w:spacing w:line="360" w:lineRule="auto"/>
        <w:jc w:val="both"/>
        <w:rPr>
          <w:rFonts w:ascii="Century" w:hAnsi="Century" w:cs="FrankRuehl"/>
          <w:spacing w:val="10"/>
          <w:sz w:val="22"/>
          <w:szCs w:val="28"/>
          <w:rtl/>
        </w:rPr>
      </w:pPr>
    </w:p>
    <w:p w:rsidR="004855BB" w:rsidRPr="00242AB7" w:rsidRDefault="004855BB" w:rsidP="004855BB">
      <w:pPr>
        <w:pStyle w:val="Ruller5"/>
        <w:spacing w:after="120" w:line="276" w:lineRule="auto"/>
        <w:rPr>
          <w:rFonts w:ascii="Century" w:hAnsi="Century"/>
          <w:shd w:val="clear" w:color="auto" w:fill="FFFF99"/>
          <w:rtl/>
        </w:rPr>
      </w:pPr>
      <w:r>
        <w:rPr>
          <w:rFonts w:hint="cs"/>
          <w:rtl/>
        </w:rPr>
        <w:t>"</w:t>
      </w:r>
      <w:r w:rsidRPr="00FF0B06">
        <w:rPr>
          <w:rFonts w:ascii="Century" w:hAnsi="Century" w:cs="Miriam" w:hint="cs"/>
          <w:b/>
          <w:shd w:val="clear" w:color="auto" w:fill="FFFFFF"/>
          <w:rtl/>
        </w:rPr>
        <w:t xml:space="preserve"> </w:t>
      </w:r>
      <w:r>
        <w:rPr>
          <w:rFonts w:hint="cs"/>
          <w:rtl/>
        </w:rPr>
        <w:t>...</w:t>
      </w:r>
      <w:r w:rsidRPr="00242AB7">
        <w:rPr>
          <w:rFonts w:hint="cs"/>
          <w:rtl/>
        </w:rPr>
        <w:t xml:space="preserve"> </w:t>
      </w:r>
      <w:r w:rsidRPr="008E43EF">
        <w:rPr>
          <w:rFonts w:ascii="Century" w:hAnsi="Century" w:cs="Miriam" w:hint="cs"/>
          <w:b/>
          <w:spacing w:val="0"/>
          <w:szCs w:val="24"/>
          <w:rtl/>
        </w:rPr>
        <w:t>ה'פגיעה באמון הציבור'</w:t>
      </w:r>
      <w:r w:rsidRPr="008E43EF">
        <w:rPr>
          <w:rFonts w:hint="cs"/>
          <w:rtl/>
        </w:rPr>
        <w:t xml:space="preserve"> </w:t>
      </w:r>
      <w:r w:rsidRPr="00242AB7">
        <w:rPr>
          <w:rFonts w:ascii="Century" w:hAnsi="Century" w:hint="cs"/>
          <w:rtl/>
        </w:rPr>
        <w:t>אינה פראזה ערטילאית של משפטנים, מדובר בדבר מאוד מוחשי - בערעור עצם הלגיטימיות של השלטון ושל החלטותיו בעיני הציבור ופגיעה ביכולת המשילות של מערכות השלטון. שלטון שאינו נהנה מאמון ציבורי, לא יכול לקבל החלטות קשות מתחייבות ולבצע אותן.</w:t>
      </w:r>
    </w:p>
    <w:p w:rsidR="004855BB" w:rsidRPr="00242AB7" w:rsidRDefault="004855BB" w:rsidP="004855BB">
      <w:pPr>
        <w:pStyle w:val="Ruller5"/>
        <w:tabs>
          <w:tab w:val="left" w:pos="2210"/>
        </w:tabs>
        <w:spacing w:after="120" w:line="276" w:lineRule="auto"/>
        <w:ind w:left="1644" w:right="1281"/>
        <w:rPr>
          <w:rFonts w:ascii="Century" w:hAnsi="Century"/>
        </w:rPr>
      </w:pPr>
      <w:r>
        <w:rPr>
          <w:rFonts w:ascii="Century" w:hAnsi="Century" w:hint="cs"/>
          <w:rtl/>
        </w:rPr>
        <w:t>..</w:t>
      </w:r>
      <w:r w:rsidRPr="00FF0B06">
        <w:rPr>
          <w:rFonts w:hint="cs"/>
          <w:rtl/>
        </w:rPr>
        <w:t xml:space="preserve">. </w:t>
      </w:r>
      <w:r w:rsidRPr="00242AB7">
        <w:rPr>
          <w:rFonts w:ascii="Century" w:hAnsi="Century" w:hint="cs"/>
          <w:rtl/>
        </w:rPr>
        <w:t xml:space="preserve">המשטר הדמוקרטי מבוסס על </w:t>
      </w:r>
      <w:r>
        <w:rPr>
          <w:rFonts w:ascii="Century" w:hAnsi="Century" w:hint="cs"/>
          <w:rtl/>
        </w:rPr>
        <w:t>'</w:t>
      </w:r>
      <w:r w:rsidRPr="00242AB7">
        <w:rPr>
          <w:rFonts w:ascii="Century" w:hAnsi="Century" w:hint="cs"/>
          <w:rtl/>
        </w:rPr>
        <w:t>אמנה חברתית</w:t>
      </w:r>
      <w:r>
        <w:rPr>
          <w:rFonts w:ascii="Century" w:hAnsi="Century" w:hint="cs"/>
          <w:rtl/>
        </w:rPr>
        <w:t>'</w:t>
      </w:r>
      <w:r w:rsidRPr="00242AB7">
        <w:rPr>
          <w:rFonts w:ascii="Century" w:hAnsi="Century" w:hint="cs"/>
          <w:rtl/>
        </w:rPr>
        <w:t xml:space="preserve"> לפיה נבחרי העם הם </w:t>
      </w:r>
      <w:r>
        <w:rPr>
          <w:rFonts w:ascii="Century" w:hAnsi="Century" w:hint="cs"/>
          <w:rtl/>
        </w:rPr>
        <w:t>'</w:t>
      </w:r>
      <w:r w:rsidRPr="00242AB7">
        <w:rPr>
          <w:rFonts w:ascii="Century" w:hAnsi="Century" w:hint="cs"/>
          <w:rtl/>
        </w:rPr>
        <w:t>משרתי הציבור</w:t>
      </w:r>
      <w:r>
        <w:rPr>
          <w:rFonts w:ascii="Century" w:hAnsi="Century" w:hint="cs"/>
          <w:rtl/>
        </w:rPr>
        <w:t>'</w:t>
      </w:r>
      <w:r w:rsidRPr="00242AB7">
        <w:rPr>
          <w:rFonts w:ascii="Century" w:hAnsi="Century" w:hint="cs"/>
          <w:rtl/>
        </w:rPr>
        <w:t>, האמורים לפעול לטובת האינטרס הציבורי, ולא לטובתם הם ולטובת מקורביהם, ולשם כך מוענקות להם סמכויות נרחבות; זאת, להבדיל ממשטר אבסולוטי, בו העם הוא הנתין של השליט והמשרת את הצרכים והאינטרסים של השליט. מקום שהקוד האמור העומד ביסוד האמנה החברתית נשבר, והציבור חש שנבחריו פועלים לטובתם האישית ולא לטובת הציבור, נפרמים התפרים המחזיקים את האמנה החברתית, ומתערערת הלגיטימיות של השלטון בעיני הציבור.</w:t>
      </w:r>
      <w:r>
        <w:rPr>
          <w:rFonts w:ascii="Century" w:hAnsi="Century" w:hint="cs"/>
          <w:rtl/>
        </w:rPr>
        <w:t>..</w:t>
      </w:r>
    </w:p>
    <w:p w:rsidR="004855BB" w:rsidRDefault="004855BB" w:rsidP="004855BB">
      <w:pPr>
        <w:pStyle w:val="Ruller5"/>
        <w:spacing w:line="276" w:lineRule="auto"/>
        <w:rPr>
          <w:rFonts w:ascii="Century" w:hAnsi="Century"/>
          <w:rtl/>
        </w:rPr>
      </w:pPr>
      <w:r w:rsidRPr="00242AB7">
        <w:rPr>
          <w:rFonts w:ascii="Century" w:hAnsi="Century" w:hint="cs"/>
          <w:rtl/>
        </w:rPr>
        <w:t>ולבסוף - שחיתות שלטונית עלולה גם לשמש</w:t>
      </w:r>
      <w:r w:rsidRPr="00242AB7">
        <w:rPr>
          <w:rFonts w:hint="cs"/>
          <w:rtl/>
        </w:rPr>
        <w:t xml:space="preserve"> </w:t>
      </w:r>
      <w:r w:rsidRPr="008E43EF">
        <w:rPr>
          <w:rFonts w:ascii="Century" w:hAnsi="Century" w:cs="Miriam" w:hint="cs"/>
          <w:b/>
          <w:spacing w:val="0"/>
          <w:szCs w:val="24"/>
          <w:rtl/>
        </w:rPr>
        <w:t>אמתלה לאי-כיבוד חוק</w:t>
      </w:r>
      <w:r w:rsidRPr="00FF0B06">
        <w:rPr>
          <w:rFonts w:hint="cs"/>
          <w:rtl/>
        </w:rPr>
        <w:t xml:space="preserve"> </w:t>
      </w:r>
      <w:r w:rsidRPr="00242AB7">
        <w:rPr>
          <w:rFonts w:ascii="Century" w:hAnsi="Century" w:hint="cs"/>
          <w:rtl/>
        </w:rPr>
        <w:t xml:space="preserve">על ידי הפרט, בכל תחומי החיים. כל אדם עשוי לעמוד בפני פיתוי שלא לכבד את החוק, כגון על ידי העלמת מס. במציאות של שחיתות שלטונית עשוי האזרח לומר לעצמו </w:t>
      </w:r>
      <w:r>
        <w:rPr>
          <w:rFonts w:ascii="Century" w:hAnsi="Century" w:hint="cs"/>
          <w:rtl/>
        </w:rPr>
        <w:t>'</w:t>
      </w:r>
      <w:r w:rsidRPr="00242AB7">
        <w:rPr>
          <w:rFonts w:ascii="Century" w:hAnsi="Century" w:hint="cs"/>
          <w:rtl/>
        </w:rPr>
        <w:t>אם השלטון מושחת, זה בסדר שאני אעלים הכנסות ולא אשלם מסים, שהרי הכסף מגיע ממילא לכתובת הלא-נכונה</w:t>
      </w:r>
      <w:r>
        <w:rPr>
          <w:rFonts w:ascii="Century" w:hAnsi="Century" w:hint="cs"/>
          <w:rtl/>
        </w:rPr>
        <w:t>'</w:t>
      </w:r>
      <w:r w:rsidRPr="00242AB7">
        <w:rPr>
          <w:rFonts w:ascii="Century" w:hAnsi="Century" w:hint="cs"/>
          <w:rtl/>
        </w:rPr>
        <w:t>"</w:t>
      </w:r>
      <w:r>
        <w:rPr>
          <w:rFonts w:ascii="Century" w:hAnsi="Century" w:hint="cs"/>
          <w:rtl/>
        </w:rPr>
        <w:t xml:space="preserve"> </w:t>
      </w:r>
      <w:r w:rsidRPr="00242AB7">
        <w:rPr>
          <w:rFonts w:ascii="Century" w:hAnsi="Century" w:hint="cs"/>
          <w:rtl/>
        </w:rPr>
        <w:t>(</w:t>
      </w:r>
      <w:r w:rsidRPr="00242AB7">
        <w:rPr>
          <w:rFonts w:ascii="Century" w:hAnsi="Century"/>
          <w:rtl/>
        </w:rPr>
        <w:t xml:space="preserve">רע"פ 3292-15 </w:t>
      </w:r>
      <w:r w:rsidRPr="008E43EF">
        <w:rPr>
          <w:rFonts w:ascii="Century" w:hAnsi="Century" w:cs="Miriam"/>
          <w:b/>
          <w:spacing w:val="0"/>
          <w:szCs w:val="24"/>
          <w:rtl/>
        </w:rPr>
        <w:t>לחיאני נ' מדינת ישראל</w:t>
      </w:r>
      <w:r w:rsidRPr="00242AB7">
        <w:rPr>
          <w:rFonts w:ascii="Century" w:hAnsi="Century" w:hint="cs"/>
          <w:rtl/>
        </w:rPr>
        <w:t xml:space="preserve"> (17.11.2015)</w:t>
      </w:r>
      <w:r>
        <w:rPr>
          <w:rFonts w:ascii="Century" w:hAnsi="Century" w:hint="cs"/>
          <w:rtl/>
        </w:rPr>
        <w:t>, בפסקה 7 לפסק דיני).</w:t>
      </w:r>
    </w:p>
    <w:p w:rsidR="004855BB" w:rsidRPr="00F35CDE" w:rsidRDefault="004855BB" w:rsidP="004855BB">
      <w:pPr>
        <w:pStyle w:val="Ruller5"/>
        <w:spacing w:line="360" w:lineRule="auto"/>
        <w:ind w:left="0"/>
        <w:rPr>
          <w:rFonts w:ascii="Century" w:hAnsi="Century"/>
          <w:rtl/>
        </w:rPr>
      </w:pPr>
    </w:p>
    <w:p w:rsidR="004855BB" w:rsidRPr="00D74942" w:rsidRDefault="004855BB" w:rsidP="004855BB">
      <w:pPr>
        <w:pStyle w:val="Ruller40"/>
        <w:rPr>
          <w:rFonts w:ascii="Century" w:hAnsi="Century"/>
          <w:rtl/>
        </w:rPr>
      </w:pPr>
      <w:r w:rsidRPr="00D74942">
        <w:rPr>
          <w:rFonts w:ascii="Century" w:hAnsi="Century"/>
          <w:rtl/>
        </w:rPr>
        <w:tab/>
      </w:r>
      <w:r w:rsidRPr="00D74942">
        <w:rPr>
          <w:rFonts w:ascii="Century" w:hAnsi="Century" w:hint="cs"/>
          <w:rtl/>
        </w:rPr>
        <w:t xml:space="preserve">על כן, השיקול של פגיעה באמון הציבור ברשויות השלטון הוא אפוא שיקול ראוי </w:t>
      </w:r>
      <w:r>
        <w:rPr>
          <w:rFonts w:ascii="Century" w:hAnsi="Century" w:hint="cs"/>
          <w:rtl/>
        </w:rPr>
        <w:t>העשוי בנסיבות מתאימות לבסס כללים משפטיים והכרעות שיפוטיות. אך אין זה מצב הדברים בסוגיה דנן, כמפורט לעיל.</w:t>
      </w:r>
    </w:p>
    <w:p w:rsidR="004855BB" w:rsidRPr="00D74942" w:rsidRDefault="004855BB" w:rsidP="004855BB">
      <w:pPr>
        <w:spacing w:line="360" w:lineRule="auto"/>
        <w:jc w:val="both"/>
        <w:rPr>
          <w:rFonts w:ascii="Century" w:hAnsi="Century" w:cs="FrankRuehl"/>
          <w:spacing w:val="10"/>
          <w:sz w:val="22"/>
          <w:szCs w:val="28"/>
          <w:rtl/>
        </w:rPr>
      </w:pPr>
    </w:p>
    <w:p w:rsidR="004855BB" w:rsidRDefault="004855BB" w:rsidP="004855BB">
      <w:pPr>
        <w:pStyle w:val="Ruller4"/>
        <w:overflowPunct/>
        <w:autoSpaceDE/>
        <w:autoSpaceDN/>
        <w:adjustRightInd/>
        <w:textAlignment w:val="auto"/>
        <w:rPr>
          <w:rFonts w:ascii="Century" w:hAnsi="Century"/>
          <w:sz w:val="22"/>
        </w:rPr>
      </w:pPr>
      <w:r w:rsidRPr="00C725F2">
        <w:rPr>
          <w:rFonts w:ascii="Century" w:hAnsi="Century" w:cs="Miriam" w:hint="cs"/>
          <w:b/>
          <w:spacing w:val="0"/>
          <w:sz w:val="22"/>
          <w:szCs w:val="24"/>
          <w:rtl/>
        </w:rPr>
        <w:t xml:space="preserve">אשר </w:t>
      </w:r>
      <w:r w:rsidRPr="00C725F2">
        <w:rPr>
          <w:rFonts w:ascii="Century" w:hAnsi="Century" w:cs="Miriam"/>
          <w:b/>
          <w:spacing w:val="0"/>
          <w:sz w:val="22"/>
          <w:szCs w:val="24"/>
          <w:rtl/>
        </w:rPr>
        <w:t>להסכם הקואליציוני</w:t>
      </w:r>
      <w:r w:rsidRPr="00C725F2">
        <w:rPr>
          <w:rFonts w:ascii="Century" w:hAnsi="Century" w:hint="cs"/>
          <w:sz w:val="22"/>
          <w:rtl/>
        </w:rPr>
        <w:t xml:space="preserve"> </w:t>
      </w:r>
      <w:r>
        <w:rPr>
          <w:rFonts w:ascii="Century" w:hAnsi="Century"/>
          <w:sz w:val="22"/>
          <w:rtl/>
        </w:rPr>
        <w:t>–</w:t>
      </w:r>
      <w:r>
        <w:rPr>
          <w:rFonts w:ascii="Century" w:hAnsi="Century" w:hint="cs"/>
          <w:sz w:val="22"/>
          <w:rtl/>
        </w:rPr>
        <w:t xml:space="preserve"> </w:t>
      </w:r>
    </w:p>
    <w:p w:rsidR="004855BB" w:rsidRDefault="004855BB" w:rsidP="004855BB">
      <w:pPr>
        <w:pStyle w:val="Ruller4"/>
        <w:numPr>
          <w:ilvl w:val="0"/>
          <w:numId w:val="0"/>
        </w:numPr>
        <w:rPr>
          <w:rFonts w:ascii="Century" w:hAnsi="Century"/>
          <w:sz w:val="22"/>
          <w:rtl/>
        </w:rPr>
      </w:pPr>
    </w:p>
    <w:p w:rsidR="004855BB" w:rsidRPr="00696A49" w:rsidRDefault="004855BB" w:rsidP="004855BB">
      <w:pPr>
        <w:pStyle w:val="Ruller4"/>
        <w:numPr>
          <w:ilvl w:val="0"/>
          <w:numId w:val="0"/>
        </w:numPr>
        <w:rPr>
          <w:rFonts w:ascii="Century" w:hAnsi="Century"/>
          <w:sz w:val="22"/>
        </w:rPr>
      </w:pPr>
      <w:r>
        <w:rPr>
          <w:rFonts w:ascii="Century" w:hAnsi="Century"/>
          <w:sz w:val="22"/>
          <w:rtl/>
        </w:rPr>
        <w:tab/>
      </w:r>
      <w:r w:rsidRPr="00696A49">
        <w:rPr>
          <w:rFonts w:ascii="Century" w:hAnsi="Century"/>
          <w:sz w:val="22"/>
          <w:rtl/>
        </w:rPr>
        <w:t xml:space="preserve">איני רואה צורך להתייחס </w:t>
      </w:r>
      <w:r>
        <w:rPr>
          <w:rFonts w:ascii="Century" w:hAnsi="Century" w:hint="cs"/>
          <w:sz w:val="22"/>
          <w:rtl/>
        </w:rPr>
        <w:t>לגישות השונות בפסיקה ובספרות המשפטית</w:t>
      </w:r>
      <w:r w:rsidRPr="00696A49">
        <w:rPr>
          <w:rFonts w:ascii="Century" w:hAnsi="Century"/>
          <w:sz w:val="22"/>
          <w:rtl/>
        </w:rPr>
        <w:t xml:space="preserve"> באשר לתוקפו של הסכם כזה כלפי הצדדים לו</w:t>
      </w:r>
      <w:r>
        <w:rPr>
          <w:rFonts w:ascii="Century" w:hAnsi="Century" w:hint="cs"/>
          <w:sz w:val="22"/>
          <w:rtl/>
        </w:rPr>
        <w:t>,</w:t>
      </w:r>
      <w:r w:rsidRPr="00696A49">
        <w:rPr>
          <w:rFonts w:ascii="Century" w:hAnsi="Century"/>
          <w:sz w:val="22"/>
          <w:rtl/>
        </w:rPr>
        <w:t xml:space="preserve"> </w:t>
      </w:r>
      <w:r>
        <w:rPr>
          <w:rFonts w:ascii="Century" w:hAnsi="Century" w:hint="cs"/>
          <w:sz w:val="22"/>
          <w:rtl/>
        </w:rPr>
        <w:t xml:space="preserve">והדין השולט על הסכם כזה </w:t>
      </w:r>
      <w:r w:rsidRPr="00696A49">
        <w:rPr>
          <w:rFonts w:ascii="Century" w:hAnsi="Century"/>
          <w:sz w:val="22"/>
          <w:rtl/>
        </w:rPr>
        <w:t>(ראו סיכום הגישות</w:t>
      </w:r>
      <w:r>
        <w:rPr>
          <w:rFonts w:ascii="Century" w:hAnsi="Century" w:hint="cs"/>
          <w:sz w:val="22"/>
          <w:rtl/>
        </w:rPr>
        <w:t xml:space="preserve"> השונות </w:t>
      </w:r>
      <w:r w:rsidRPr="00F31A51">
        <w:rPr>
          <w:rFonts w:ascii="Century" w:hAnsi="Century" w:hint="cs"/>
          <w:sz w:val="22"/>
          <w:rtl/>
        </w:rPr>
        <w:t>ב</w:t>
      </w:r>
      <w:r w:rsidRPr="00F31A51">
        <w:rPr>
          <w:rFonts w:ascii="Century" w:hAnsi="Century"/>
          <w:sz w:val="22"/>
          <w:rtl/>
        </w:rPr>
        <w:t xml:space="preserve">עע"מ 5042-01 </w:t>
      </w:r>
      <w:r w:rsidRPr="00C725F2">
        <w:rPr>
          <w:rFonts w:ascii="Century" w:hAnsi="Century" w:cs="Miriam"/>
          <w:b/>
          <w:spacing w:val="0"/>
          <w:sz w:val="22"/>
          <w:szCs w:val="24"/>
          <w:rtl/>
        </w:rPr>
        <w:t>זיד נ' פארס</w:t>
      </w:r>
      <w:r w:rsidRPr="00F31A51">
        <w:rPr>
          <w:rFonts w:ascii="Century" w:hAnsi="Century"/>
          <w:sz w:val="22"/>
          <w:rtl/>
        </w:rPr>
        <w:t xml:space="preserve">, </w:t>
      </w:r>
      <w:r>
        <w:rPr>
          <w:rFonts w:ascii="Century" w:hAnsi="Century" w:hint="cs"/>
          <w:sz w:val="22"/>
          <w:rtl/>
        </w:rPr>
        <w:t xml:space="preserve">פ"ד </w:t>
      </w:r>
      <w:r w:rsidRPr="00F31A51">
        <w:rPr>
          <w:rFonts w:ascii="Century" w:hAnsi="Century"/>
          <w:sz w:val="22"/>
          <w:rtl/>
        </w:rPr>
        <w:t>נו(3) 865</w:t>
      </w:r>
      <w:r>
        <w:rPr>
          <w:rFonts w:ascii="Century" w:hAnsi="Century" w:hint="cs"/>
          <w:sz w:val="22"/>
          <w:rtl/>
        </w:rPr>
        <w:t>, 876-872</w:t>
      </w:r>
      <w:r w:rsidRPr="00F31A51">
        <w:rPr>
          <w:rFonts w:ascii="Century" w:hAnsi="Century"/>
          <w:sz w:val="22"/>
          <w:rtl/>
        </w:rPr>
        <w:t xml:space="preserve"> </w:t>
      </w:r>
      <w:r w:rsidRPr="00F31A51">
        <w:rPr>
          <w:rFonts w:ascii="Century" w:hAnsi="Century" w:hint="cs"/>
          <w:sz w:val="22"/>
          <w:rtl/>
        </w:rPr>
        <w:t>(2002)</w:t>
      </w:r>
      <w:r>
        <w:rPr>
          <w:rFonts w:ascii="Century" w:hAnsi="Century" w:hint="cs"/>
          <w:sz w:val="22"/>
          <w:rtl/>
        </w:rPr>
        <w:t xml:space="preserve"> והאסמכתאות הנזכרות שם</w:t>
      </w:r>
      <w:r w:rsidRPr="00696A49">
        <w:rPr>
          <w:rFonts w:ascii="Century" w:hAnsi="Century"/>
          <w:sz w:val="22"/>
          <w:rtl/>
        </w:rPr>
        <w:t>). מכל מקום, ברי ואין חולק, כי אין בכוחו של הסכם פוליטי לשנות את הדין ולהתיר מעשה או מחדל בניגוד לדין</w:t>
      </w:r>
      <w:r>
        <w:rPr>
          <w:rFonts w:ascii="Century" w:hAnsi="Century" w:hint="cs"/>
          <w:sz w:val="22"/>
          <w:rtl/>
        </w:rPr>
        <w:t xml:space="preserve"> -</w:t>
      </w:r>
    </w:p>
    <w:p w:rsidR="004855BB" w:rsidRPr="00F35CDE" w:rsidRDefault="004855BB" w:rsidP="004855BB">
      <w:pPr>
        <w:pStyle w:val="ae"/>
        <w:spacing w:after="0" w:line="360" w:lineRule="auto"/>
        <w:rPr>
          <w:rFonts w:ascii="Century" w:hAnsi="Century"/>
          <w:spacing w:val="10"/>
          <w:rtl/>
        </w:rPr>
      </w:pPr>
    </w:p>
    <w:p w:rsidR="004855BB" w:rsidRDefault="004855BB" w:rsidP="004855BB">
      <w:pPr>
        <w:pStyle w:val="Ruller5"/>
        <w:spacing w:line="276" w:lineRule="auto"/>
        <w:rPr>
          <w:rFonts w:ascii="Century" w:hAnsi="Century"/>
          <w:rtl/>
        </w:rPr>
      </w:pPr>
      <w:r w:rsidRPr="008E43EF">
        <w:rPr>
          <w:rFonts w:ascii="Century" w:hAnsi="Century"/>
          <w:spacing w:val="6"/>
          <w:rtl/>
        </w:rPr>
        <w:t>"ההסכם הקואליציוני הינו מכשיר מקובל בישראל. הוא מהווה מסגרת להסכמה פוליטית בין המפלגות. אין הוא יכול, כשלעצמו, להפוך לחוקית, פעולה שבלעדיו אינה חוקית... בדומה, אין בעצם העובדה שפעולה מסוימת נכללת בהסכם קואליציוני כדי להפוך אותה פעולה לבלתי חוקית, אם לולא אותו הסכם הפעולה הינה חוקית.</w:t>
      </w:r>
      <w:r w:rsidRPr="008E43EF">
        <w:rPr>
          <w:rFonts w:ascii="Century" w:hAnsi="Century" w:hint="cs"/>
          <w:spacing w:val="6"/>
          <w:rtl/>
        </w:rPr>
        <w:t>..</w:t>
      </w:r>
      <w:r w:rsidRPr="008E43EF">
        <w:rPr>
          <w:rFonts w:ascii="Century" w:hAnsi="Century"/>
          <w:spacing w:val="6"/>
          <w:rtl/>
        </w:rPr>
        <w:t xml:space="preserve"> </w:t>
      </w:r>
      <w:r w:rsidRPr="008E43EF">
        <w:rPr>
          <w:rFonts w:ascii="Century" w:hAnsi="Century" w:hint="cs"/>
          <w:spacing w:val="6"/>
          <w:rtl/>
        </w:rPr>
        <w:t>(</w:t>
      </w:r>
      <w:r>
        <w:rPr>
          <w:rFonts w:ascii="Century" w:hAnsi="Century" w:hint="cs"/>
          <w:spacing w:val="6"/>
          <w:rtl/>
        </w:rPr>
        <w:t>ענין</w:t>
      </w:r>
      <w:r w:rsidRPr="008E43EF">
        <w:rPr>
          <w:rFonts w:ascii="Century" w:hAnsi="Century"/>
          <w:spacing w:val="6"/>
          <w:rtl/>
        </w:rPr>
        <w:t xml:space="preserve"> </w:t>
      </w:r>
      <w:r w:rsidRPr="008E43EF">
        <w:rPr>
          <w:rFonts w:ascii="Century" w:hAnsi="Century" w:cs="Miriam"/>
          <w:b/>
          <w:spacing w:val="0"/>
          <w:szCs w:val="24"/>
          <w:rtl/>
        </w:rPr>
        <w:t>רסלר</w:t>
      </w:r>
      <w:r w:rsidRPr="00F35CDE">
        <w:rPr>
          <w:rFonts w:ascii="Century" w:hAnsi="Century" w:hint="cs"/>
          <w:rtl/>
        </w:rPr>
        <w:t>, שם בעמ'</w:t>
      </w:r>
      <w:r w:rsidRPr="00F35CDE">
        <w:rPr>
          <w:rFonts w:ascii="Century" w:hAnsi="Century" w:cs="Miriam"/>
          <w:b/>
          <w:spacing w:val="0"/>
          <w:szCs w:val="24"/>
          <w:rtl/>
        </w:rPr>
        <w:t xml:space="preserve"> </w:t>
      </w:r>
      <w:r w:rsidRPr="008E43EF">
        <w:rPr>
          <w:rFonts w:ascii="Century" w:hAnsi="Century" w:hint="cs"/>
          <w:spacing w:val="6"/>
          <w:rtl/>
        </w:rPr>
        <w:t>507).</w:t>
      </w:r>
    </w:p>
    <w:p w:rsidR="004855BB" w:rsidRPr="00F35CDE" w:rsidRDefault="004855BB" w:rsidP="004855BB">
      <w:pPr>
        <w:spacing w:line="360" w:lineRule="auto"/>
        <w:jc w:val="both"/>
        <w:rPr>
          <w:rFonts w:ascii="Century" w:hAnsi="Century" w:cs="FrankRuehl"/>
          <w:spacing w:val="10"/>
          <w:sz w:val="18"/>
          <w:szCs w:val="28"/>
          <w:rtl/>
        </w:rPr>
      </w:pPr>
    </w:p>
    <w:p w:rsidR="004855BB" w:rsidRPr="005C275F" w:rsidRDefault="004855BB" w:rsidP="004855BB">
      <w:pPr>
        <w:spacing w:line="360" w:lineRule="auto"/>
        <w:ind w:firstLine="720"/>
        <w:jc w:val="both"/>
        <w:rPr>
          <w:rFonts w:ascii="Century" w:hAnsi="Century" w:cs="FrankRuehl"/>
          <w:spacing w:val="10"/>
          <w:sz w:val="22"/>
          <w:szCs w:val="28"/>
        </w:rPr>
      </w:pPr>
      <w:r w:rsidRPr="005C275F">
        <w:rPr>
          <w:rFonts w:ascii="Century" w:hAnsi="Century" w:cs="FrankRuehl"/>
          <w:spacing w:val="10"/>
          <w:sz w:val="22"/>
          <w:szCs w:val="28"/>
          <w:rtl/>
        </w:rPr>
        <w:t xml:space="preserve">מטעם זה, העתירות לעניין זה הן </w:t>
      </w:r>
      <w:r>
        <w:rPr>
          <w:rFonts w:ascii="Century" w:hAnsi="Century" w:cs="FrankRuehl" w:hint="cs"/>
          <w:spacing w:val="10"/>
          <w:sz w:val="22"/>
          <w:szCs w:val="28"/>
          <w:rtl/>
        </w:rPr>
        <w:t xml:space="preserve">ככלל </w:t>
      </w:r>
      <w:r w:rsidRPr="005C275F">
        <w:rPr>
          <w:rFonts w:ascii="Century" w:hAnsi="Century" w:cs="FrankRuehl"/>
          <w:spacing w:val="10"/>
          <w:sz w:val="22"/>
          <w:szCs w:val="28"/>
          <w:rtl/>
        </w:rPr>
        <w:t xml:space="preserve">מוקדמות, שהרי אין מדובר בהליך </w:t>
      </w:r>
      <w:r w:rsidRPr="000C2D9E">
        <w:rPr>
          <w:rFonts w:ascii="Century" w:hAnsi="Century" w:cs="Miriam"/>
          <w:b/>
          <w:sz w:val="22"/>
          <w:rtl/>
        </w:rPr>
        <w:t>בין הצדדים להסכם</w:t>
      </w:r>
      <w:r w:rsidRPr="005C275F">
        <w:rPr>
          <w:rFonts w:ascii="Century" w:hAnsi="Century" w:cs="FrankRuehl"/>
          <w:spacing w:val="10"/>
          <w:sz w:val="22"/>
          <w:szCs w:val="28"/>
          <w:rtl/>
        </w:rPr>
        <w:t xml:space="preserve">, בו מבוקשים </w:t>
      </w:r>
      <w:r>
        <w:rPr>
          <w:rFonts w:ascii="Century" w:hAnsi="Century" w:cs="FrankRuehl" w:hint="cs"/>
          <w:spacing w:val="10"/>
          <w:sz w:val="22"/>
          <w:szCs w:val="28"/>
          <w:rtl/>
        </w:rPr>
        <w:t>סעדים בנוגע לתוקפו או לאכיפתו של ההסכם</w:t>
      </w:r>
      <w:r w:rsidRPr="005C275F">
        <w:rPr>
          <w:rFonts w:ascii="Century" w:hAnsi="Century" w:cs="FrankRuehl"/>
          <w:spacing w:val="10"/>
          <w:sz w:val="22"/>
          <w:szCs w:val="28"/>
          <w:rtl/>
        </w:rPr>
        <w:t xml:space="preserve">, אלא מדובר </w:t>
      </w:r>
      <w:r>
        <w:rPr>
          <w:rFonts w:ascii="Century" w:hAnsi="Century" w:cs="FrankRuehl" w:hint="cs"/>
          <w:spacing w:val="10"/>
          <w:sz w:val="22"/>
          <w:szCs w:val="28"/>
          <w:rtl/>
        </w:rPr>
        <w:t xml:space="preserve">בעתירות של </w:t>
      </w:r>
      <w:r w:rsidRPr="005C275F">
        <w:rPr>
          <w:rFonts w:ascii="Century" w:hAnsi="Century" w:cs="FrankRuehl"/>
          <w:spacing w:val="10"/>
          <w:sz w:val="22"/>
          <w:szCs w:val="28"/>
          <w:rtl/>
        </w:rPr>
        <w:t>מי שמבקש</w:t>
      </w:r>
      <w:r>
        <w:rPr>
          <w:rFonts w:ascii="Century" w:hAnsi="Century" w:cs="FrankRuehl" w:hint="cs"/>
          <w:spacing w:val="10"/>
          <w:sz w:val="22"/>
          <w:szCs w:val="28"/>
          <w:rtl/>
        </w:rPr>
        <w:t>ים</w:t>
      </w:r>
      <w:r w:rsidRPr="005C275F">
        <w:rPr>
          <w:rFonts w:ascii="Century" w:hAnsi="Century" w:cs="FrankRuehl"/>
          <w:spacing w:val="10"/>
          <w:sz w:val="22"/>
          <w:szCs w:val="28"/>
          <w:rtl/>
        </w:rPr>
        <w:t xml:space="preserve"> למנוע קיום הוראות בהסכם בנימוק שהדבר נוגד את הדין. </w:t>
      </w:r>
      <w:r>
        <w:rPr>
          <w:rFonts w:ascii="Century" w:hAnsi="Century" w:cs="FrankRuehl" w:hint="cs"/>
          <w:spacing w:val="10"/>
          <w:sz w:val="22"/>
          <w:szCs w:val="28"/>
          <w:rtl/>
        </w:rPr>
        <w:t xml:space="preserve">בנסיבות אלה, </w:t>
      </w:r>
      <w:r w:rsidRPr="005C275F">
        <w:rPr>
          <w:rFonts w:ascii="Century" w:hAnsi="Century" w:cs="FrankRuehl"/>
          <w:spacing w:val="10"/>
          <w:sz w:val="22"/>
          <w:szCs w:val="28"/>
          <w:rtl/>
        </w:rPr>
        <w:t xml:space="preserve">את שאלת חוקיות המעשה </w:t>
      </w:r>
      <w:r>
        <w:rPr>
          <w:rFonts w:ascii="Century" w:hAnsi="Century" w:cs="FrankRuehl" w:hint="cs"/>
          <w:spacing w:val="10"/>
          <w:sz w:val="22"/>
          <w:szCs w:val="28"/>
          <w:rtl/>
        </w:rPr>
        <w:t xml:space="preserve">או המחדל בו עוסק ההסכם </w:t>
      </w:r>
      <w:r w:rsidRPr="005C275F">
        <w:rPr>
          <w:rFonts w:ascii="Century" w:hAnsi="Century" w:cs="FrankRuehl"/>
          <w:spacing w:val="10"/>
          <w:sz w:val="22"/>
          <w:szCs w:val="28"/>
          <w:rtl/>
        </w:rPr>
        <w:t xml:space="preserve">יש לבחון אל מול </w:t>
      </w:r>
      <w:r>
        <w:rPr>
          <w:rFonts w:ascii="Century" w:hAnsi="Century" w:cs="FrankRuehl" w:hint="cs"/>
          <w:spacing w:val="10"/>
          <w:sz w:val="22"/>
          <w:szCs w:val="28"/>
          <w:rtl/>
        </w:rPr>
        <w:t>ה</w:t>
      </w:r>
      <w:r w:rsidRPr="005C275F">
        <w:rPr>
          <w:rFonts w:ascii="Century" w:hAnsi="Century" w:cs="FrankRuehl"/>
          <w:spacing w:val="10"/>
          <w:sz w:val="22"/>
          <w:szCs w:val="28"/>
          <w:rtl/>
        </w:rPr>
        <w:t xml:space="preserve">מעשה </w:t>
      </w:r>
      <w:r>
        <w:rPr>
          <w:rFonts w:ascii="Century" w:hAnsi="Century" w:cs="FrankRuehl" w:hint="cs"/>
          <w:spacing w:val="10"/>
          <w:sz w:val="22"/>
          <w:szCs w:val="28"/>
          <w:rtl/>
        </w:rPr>
        <w:t xml:space="preserve">או המחדל עצמו, </w:t>
      </w:r>
      <w:r w:rsidRPr="005C275F">
        <w:rPr>
          <w:rFonts w:ascii="Century" w:hAnsi="Century" w:cs="FrankRuehl"/>
          <w:spacing w:val="10"/>
          <w:sz w:val="22"/>
          <w:szCs w:val="28"/>
          <w:rtl/>
        </w:rPr>
        <w:t xml:space="preserve">ולא אל מול ההוראות בהסכם הפוליטי העוסקות </w:t>
      </w:r>
      <w:r>
        <w:rPr>
          <w:rFonts w:ascii="Century" w:hAnsi="Century" w:cs="FrankRuehl" w:hint="cs"/>
          <w:spacing w:val="10"/>
          <w:sz w:val="22"/>
          <w:szCs w:val="28"/>
          <w:rtl/>
        </w:rPr>
        <w:t>בכוונת הצדדים לבצעו</w:t>
      </w:r>
      <w:r w:rsidRPr="005C275F">
        <w:rPr>
          <w:rFonts w:ascii="Century" w:hAnsi="Century" w:cs="FrankRuehl"/>
          <w:spacing w:val="10"/>
          <w:sz w:val="22"/>
          <w:szCs w:val="28"/>
          <w:rtl/>
        </w:rPr>
        <w:t xml:space="preserve">. כך, </w:t>
      </w:r>
      <w:r>
        <w:rPr>
          <w:rFonts w:ascii="Century" w:hAnsi="Century" w:cs="FrankRuehl" w:hint="cs"/>
          <w:spacing w:val="10"/>
          <w:sz w:val="22"/>
          <w:szCs w:val="28"/>
          <w:rtl/>
        </w:rPr>
        <w:t>חוקתיותו של תיקון</w:t>
      </w:r>
      <w:r w:rsidRPr="005C275F">
        <w:rPr>
          <w:rFonts w:ascii="Century" w:hAnsi="Century" w:cs="FrankRuehl"/>
          <w:spacing w:val="10"/>
          <w:sz w:val="22"/>
          <w:szCs w:val="28"/>
          <w:rtl/>
        </w:rPr>
        <w:t xml:space="preserve"> </w:t>
      </w:r>
      <w:r>
        <w:rPr>
          <w:rFonts w:ascii="Century" w:hAnsi="Century" w:cs="FrankRuehl" w:hint="cs"/>
          <w:spacing w:val="10"/>
          <w:sz w:val="22"/>
          <w:szCs w:val="28"/>
          <w:rtl/>
        </w:rPr>
        <w:t>ל</w:t>
      </w:r>
      <w:r w:rsidRPr="005C275F">
        <w:rPr>
          <w:rFonts w:ascii="Century" w:hAnsi="Century" w:cs="FrankRuehl"/>
          <w:spacing w:val="10"/>
          <w:sz w:val="22"/>
          <w:szCs w:val="28"/>
          <w:rtl/>
        </w:rPr>
        <w:t xml:space="preserve">חוק שנחקק בעקבות הסכמה בהסכם </w:t>
      </w:r>
      <w:r>
        <w:rPr>
          <w:rFonts w:ascii="Century" w:hAnsi="Century" w:cs="FrankRuehl" w:hint="cs"/>
          <w:spacing w:val="10"/>
          <w:sz w:val="22"/>
          <w:szCs w:val="28"/>
          <w:rtl/>
        </w:rPr>
        <w:t xml:space="preserve">פוליטי </w:t>
      </w:r>
      <w:r w:rsidRPr="005C275F">
        <w:rPr>
          <w:rFonts w:ascii="Century" w:hAnsi="Century" w:cs="FrankRuehl"/>
          <w:spacing w:val="10"/>
          <w:sz w:val="22"/>
          <w:szCs w:val="28"/>
          <w:rtl/>
        </w:rPr>
        <w:t>צרי</w:t>
      </w:r>
      <w:r>
        <w:rPr>
          <w:rFonts w:ascii="Century" w:hAnsi="Century" w:cs="FrankRuehl" w:hint="cs"/>
          <w:spacing w:val="10"/>
          <w:sz w:val="22"/>
          <w:szCs w:val="28"/>
          <w:rtl/>
        </w:rPr>
        <w:t>כה</w:t>
      </w:r>
      <w:r w:rsidRPr="005C275F">
        <w:rPr>
          <w:rFonts w:ascii="Century" w:hAnsi="Century" w:cs="FrankRuehl"/>
          <w:spacing w:val="10"/>
          <w:sz w:val="22"/>
          <w:szCs w:val="28"/>
          <w:rtl/>
        </w:rPr>
        <w:t xml:space="preserve"> להיבחן בתקיפה ישירה של אותה הוראה</w:t>
      </w:r>
      <w:r>
        <w:rPr>
          <w:rFonts w:ascii="Century" w:hAnsi="Century" w:cs="FrankRuehl" w:hint="cs"/>
          <w:spacing w:val="10"/>
          <w:sz w:val="22"/>
          <w:szCs w:val="28"/>
          <w:rtl/>
        </w:rPr>
        <w:t xml:space="preserve"> בחוק, </w:t>
      </w:r>
      <w:r w:rsidRPr="005C275F">
        <w:rPr>
          <w:rFonts w:ascii="Century" w:hAnsi="Century" w:cs="FrankRuehl"/>
          <w:spacing w:val="10"/>
          <w:sz w:val="22"/>
          <w:szCs w:val="28"/>
          <w:rtl/>
        </w:rPr>
        <w:t xml:space="preserve">על פי כללי הביקורת החוקתית, ולא דרך הפריזמה של ביקורת </w:t>
      </w:r>
      <w:r>
        <w:rPr>
          <w:rFonts w:ascii="Century" w:hAnsi="Century" w:cs="FrankRuehl" w:hint="cs"/>
          <w:spacing w:val="10"/>
          <w:sz w:val="22"/>
          <w:szCs w:val="28"/>
          <w:rtl/>
        </w:rPr>
        <w:t>הוראה</w:t>
      </w:r>
      <w:r>
        <w:rPr>
          <w:rFonts w:ascii="Century" w:hAnsi="Century" w:cs="FrankRuehl"/>
          <w:spacing w:val="10"/>
          <w:sz w:val="22"/>
          <w:szCs w:val="28"/>
          <w:rtl/>
        </w:rPr>
        <w:t xml:space="preserve"> בהסכם</w:t>
      </w:r>
      <w:r>
        <w:rPr>
          <w:rFonts w:ascii="Century" w:hAnsi="Century" w:cs="FrankRuehl" w:hint="cs"/>
          <w:spacing w:val="10"/>
          <w:sz w:val="22"/>
          <w:szCs w:val="28"/>
          <w:rtl/>
        </w:rPr>
        <w:t>.</w:t>
      </w:r>
    </w:p>
    <w:p w:rsidR="004855BB" w:rsidRPr="00F35CDE" w:rsidRDefault="004855BB" w:rsidP="004855BB">
      <w:pPr>
        <w:spacing w:line="360" w:lineRule="auto"/>
        <w:jc w:val="both"/>
        <w:rPr>
          <w:rFonts w:ascii="Century" w:hAnsi="Century" w:cs="FrankRuehl"/>
          <w:spacing w:val="10"/>
          <w:rtl/>
        </w:rPr>
      </w:pPr>
    </w:p>
    <w:p w:rsidR="004855BB" w:rsidRDefault="004855BB" w:rsidP="004855BB">
      <w:pPr>
        <w:spacing w:line="360" w:lineRule="auto"/>
        <w:ind w:firstLine="720"/>
        <w:jc w:val="both"/>
        <w:rPr>
          <w:rFonts w:ascii="Century" w:hAnsi="Century" w:cs="FrankRuehl"/>
          <w:spacing w:val="10"/>
          <w:sz w:val="22"/>
          <w:szCs w:val="28"/>
          <w:rtl/>
        </w:rPr>
      </w:pPr>
      <w:r w:rsidRPr="00C125E6">
        <w:rPr>
          <w:rFonts w:ascii="Century" w:hAnsi="Century" w:cs="FrankRuehl"/>
          <w:spacing w:val="10"/>
          <w:sz w:val="22"/>
          <w:szCs w:val="28"/>
          <w:rtl/>
        </w:rPr>
        <w:t xml:space="preserve">על כן, </w:t>
      </w:r>
      <w:r>
        <w:rPr>
          <w:rFonts w:ascii="Century" w:hAnsi="Century" w:cs="FrankRuehl" w:hint="cs"/>
          <w:spacing w:val="10"/>
          <w:sz w:val="22"/>
          <w:szCs w:val="28"/>
          <w:rtl/>
        </w:rPr>
        <w:t>למרות ש</w:t>
      </w:r>
      <w:r w:rsidRPr="00C125E6">
        <w:rPr>
          <w:rFonts w:ascii="Century" w:hAnsi="Century" w:cs="FrankRuehl" w:hint="cs"/>
          <w:spacing w:val="10"/>
          <w:sz w:val="22"/>
          <w:szCs w:val="28"/>
          <w:rtl/>
        </w:rPr>
        <w:t>מדובר בהסכם קואליציוני חריג, שחלק מהוראותיו מעורר קשיים לא מבוטלים</w:t>
      </w:r>
      <w:r>
        <w:rPr>
          <w:rFonts w:ascii="Century" w:hAnsi="Century" w:cs="FrankRuehl" w:hint="cs"/>
          <w:spacing w:val="10"/>
          <w:sz w:val="22"/>
          <w:szCs w:val="28"/>
          <w:rtl/>
        </w:rPr>
        <w:t xml:space="preserve">, כאמור בתמצית הנימוקים, הגענו כאמור למסקנה כי </w:t>
      </w:r>
      <w:r w:rsidRPr="00C125E6">
        <w:rPr>
          <w:rFonts w:ascii="Century" w:hAnsi="Century" w:cs="FrankRuehl" w:hint="cs"/>
          <w:spacing w:val="10"/>
          <w:sz w:val="22"/>
          <w:szCs w:val="28"/>
          <w:rtl/>
        </w:rPr>
        <w:t xml:space="preserve">טרם בשלה העת לבחון </w:t>
      </w:r>
      <w:r>
        <w:rPr>
          <w:rFonts w:ascii="Century" w:hAnsi="Century" w:cs="FrankRuehl" w:hint="cs"/>
          <w:spacing w:val="10"/>
          <w:sz w:val="22"/>
          <w:szCs w:val="28"/>
          <w:rtl/>
        </w:rPr>
        <w:t xml:space="preserve">את השאלות שהוא מעורר, תוך שהובהר כי </w:t>
      </w:r>
      <w:r w:rsidRPr="005C275F">
        <w:rPr>
          <w:rFonts w:ascii="Century" w:hAnsi="Century" w:cs="FrankRuehl"/>
          <w:spacing w:val="10"/>
          <w:sz w:val="22"/>
          <w:szCs w:val="28"/>
          <w:rtl/>
        </w:rPr>
        <w:t>אין ב</w:t>
      </w:r>
      <w:r>
        <w:rPr>
          <w:rFonts w:ascii="Century" w:hAnsi="Century" w:cs="FrankRuehl" w:hint="cs"/>
          <w:spacing w:val="10"/>
          <w:sz w:val="22"/>
          <w:szCs w:val="28"/>
          <w:rtl/>
        </w:rPr>
        <w:t xml:space="preserve">עצם </w:t>
      </w:r>
      <w:r w:rsidRPr="005C275F">
        <w:rPr>
          <w:rFonts w:ascii="Century" w:hAnsi="Century" w:cs="FrankRuehl"/>
          <w:spacing w:val="10"/>
          <w:sz w:val="22"/>
          <w:szCs w:val="28"/>
          <w:rtl/>
        </w:rPr>
        <w:t>דחיית</w:t>
      </w:r>
      <w:r>
        <w:rPr>
          <w:rFonts w:ascii="Century" w:hAnsi="Century" w:cs="FrankRuehl" w:hint="cs"/>
          <w:spacing w:val="10"/>
          <w:sz w:val="22"/>
          <w:szCs w:val="28"/>
          <w:rtl/>
        </w:rPr>
        <w:t xml:space="preserve"> העתירות לענין זה</w:t>
      </w:r>
      <w:r w:rsidRPr="005C275F">
        <w:rPr>
          <w:rFonts w:ascii="Century" w:hAnsi="Century" w:cs="FrankRuehl"/>
          <w:spacing w:val="10"/>
          <w:sz w:val="22"/>
          <w:szCs w:val="28"/>
          <w:rtl/>
        </w:rPr>
        <w:t xml:space="preserve"> משום מתן הכשר לפעולות שייעשו, מכוח ההסכם</w:t>
      </w:r>
      <w:r>
        <w:rPr>
          <w:rFonts w:ascii="Century" w:hAnsi="Century" w:cs="FrankRuehl" w:hint="cs"/>
          <w:spacing w:val="10"/>
          <w:sz w:val="22"/>
          <w:szCs w:val="28"/>
          <w:rtl/>
        </w:rPr>
        <w:t>.</w:t>
      </w:r>
    </w:p>
    <w:p w:rsidR="00E90B83" w:rsidRDefault="00E90B83" w:rsidP="00A51FAE">
      <w:pPr>
        <w:pStyle w:val="Ruller40"/>
        <w:rPr>
          <w:rtl/>
        </w:rPr>
      </w:pPr>
    </w:p>
    <w:p w:rsidR="008835E9" w:rsidRDefault="008835E9" w:rsidP="00A51FAE">
      <w:pPr>
        <w:pStyle w:val="Ruller40"/>
        <w:rPr>
          <w:rtl/>
        </w:rPr>
      </w:pPr>
    </w:p>
    <w:tbl>
      <w:tblPr>
        <w:bidiVisual/>
        <w:tblW w:w="8363" w:type="dxa"/>
        <w:tblLook w:val="01E0" w:firstRow="1" w:lastRow="1" w:firstColumn="1" w:lastColumn="1" w:noHBand="0" w:noVBand="0"/>
      </w:tblPr>
      <w:tblGrid>
        <w:gridCol w:w="2786"/>
        <w:gridCol w:w="2787"/>
        <w:gridCol w:w="2790"/>
      </w:tblGrid>
      <w:tr w:rsidR="00E90B83" w:rsidRPr="000A1340" w:rsidTr="008835E9">
        <w:tc>
          <w:tcPr>
            <w:tcW w:w="2842" w:type="dxa"/>
            <w:hideMark/>
          </w:tcPr>
          <w:p w:rsidR="00E90B83" w:rsidRPr="000A1340" w:rsidRDefault="00E90B83" w:rsidP="008835E9">
            <w:pPr>
              <w:pStyle w:val="Ruller40"/>
            </w:pPr>
          </w:p>
        </w:tc>
        <w:tc>
          <w:tcPr>
            <w:tcW w:w="2843" w:type="dxa"/>
            <w:hideMark/>
          </w:tcPr>
          <w:p w:rsidR="00E90B83" w:rsidRPr="000A1340" w:rsidRDefault="00E90B83" w:rsidP="008835E9">
            <w:pPr>
              <w:pStyle w:val="Ruller40"/>
              <w:jc w:val="center"/>
              <w:rPr>
                <w:rtl/>
              </w:rPr>
            </w:pPr>
          </w:p>
        </w:tc>
        <w:tc>
          <w:tcPr>
            <w:tcW w:w="2843" w:type="dxa"/>
            <w:hideMark/>
          </w:tcPr>
          <w:p w:rsidR="00E90B83" w:rsidRPr="000A1340" w:rsidRDefault="00E90B83" w:rsidP="008835E9">
            <w:pPr>
              <w:pStyle w:val="Ruller40"/>
              <w:jc w:val="center"/>
              <w:rPr>
                <w:rtl/>
              </w:rPr>
            </w:pPr>
            <w:r w:rsidRPr="000A1340">
              <w:rPr>
                <w:rtl/>
              </w:rPr>
              <w:t xml:space="preserve">ש ו פ ט </w:t>
            </w:r>
          </w:p>
        </w:tc>
      </w:tr>
    </w:tbl>
    <w:p w:rsidR="00BA3662" w:rsidRDefault="00BA3662" w:rsidP="00BA3662">
      <w:pPr>
        <w:jc w:val="right"/>
        <w:rPr>
          <w:rFonts w:cs="Miriam"/>
          <w:b/>
          <w:bCs/>
          <w:u w:val="single"/>
        </w:rPr>
      </w:pPr>
    </w:p>
    <w:p w:rsidR="00BA3662" w:rsidRDefault="00BA3662" w:rsidP="00BA3662">
      <w:pPr>
        <w:pStyle w:val="BODYVERDICT"/>
      </w:pPr>
    </w:p>
    <w:p w:rsidR="00BA3662" w:rsidRPr="00503A3E" w:rsidRDefault="00BA3662" w:rsidP="00BA3662">
      <w:pPr>
        <w:pStyle w:val="BODYVERDICT"/>
        <w:rPr>
          <w:rFonts w:cs="Miriam"/>
          <w:sz w:val="24"/>
          <w:szCs w:val="24"/>
          <w:u w:val="single"/>
          <w:rtl/>
        </w:rPr>
      </w:pPr>
      <w:r>
        <w:rPr>
          <w:rFonts w:cs="Miriam"/>
          <w:sz w:val="24"/>
          <w:szCs w:val="24"/>
          <w:u w:val="single"/>
          <w:rtl/>
        </w:rPr>
        <w:t>השופטת ע' ברון:</w:t>
      </w:r>
    </w:p>
    <w:p w:rsidR="00BA3662" w:rsidRDefault="00BA3662" w:rsidP="00BA3662">
      <w:pPr>
        <w:pStyle w:val="Ruller40"/>
        <w:rPr>
          <w:rtl/>
        </w:rPr>
      </w:pPr>
    </w:p>
    <w:p w:rsidR="00BA3662" w:rsidRDefault="00BA3662" w:rsidP="00BA3662">
      <w:pPr>
        <w:pStyle w:val="Ruller40"/>
        <w:rPr>
          <w:rtl/>
        </w:rPr>
      </w:pPr>
      <w:r>
        <w:rPr>
          <w:rFonts w:hint="cs"/>
          <w:rtl/>
        </w:rPr>
        <w:t>1.</w:t>
      </w:r>
      <w:r>
        <w:rPr>
          <w:rFonts w:hint="cs"/>
          <w:rtl/>
        </w:rPr>
        <w:tab/>
        <w:t xml:space="preserve">אני מסכימה עם התוצאה שאליה הגיעה הנשיאה </w:t>
      </w:r>
      <w:r w:rsidRPr="00223127">
        <w:rPr>
          <w:rFonts w:ascii="Century" w:hAnsi="Century" w:cs="Miriam" w:hint="cs"/>
          <w:b/>
          <w:spacing w:val="0"/>
          <w:szCs w:val="24"/>
          <w:rtl/>
        </w:rPr>
        <w:t>א' חיות</w:t>
      </w:r>
      <w:r w:rsidRPr="00223127">
        <w:rPr>
          <w:rFonts w:hint="cs"/>
          <w:rtl/>
        </w:rPr>
        <w:t xml:space="preserve"> </w:t>
      </w:r>
      <w:r>
        <w:rPr>
          <w:rFonts w:hint="cs"/>
          <w:rtl/>
        </w:rPr>
        <w:t xml:space="preserve">בעתירות שלפנינו ועם דרך הילוכה בשתי הסוגיות שהובאו להכרעתנו. כפי שהבהירה בחוות דעתה, את הדיון בשאלת הטלת התפקיד של הרכבת הממשלה על חבר הכנסת בנימין נתניהו (להלן: </w:t>
      </w:r>
      <w:r w:rsidRPr="00C22BA3">
        <w:rPr>
          <w:rFonts w:ascii="Century" w:hAnsi="Century" w:cs="Miriam" w:hint="cs"/>
          <w:b/>
          <w:spacing w:val="0"/>
          <w:szCs w:val="24"/>
          <w:rtl/>
        </w:rPr>
        <w:t>ח</w:t>
      </w:r>
      <w:r>
        <w:rPr>
          <w:rFonts w:ascii="Century" w:hAnsi="Century" w:cs="Miriam" w:hint="cs"/>
          <w:b/>
          <w:spacing w:val="0"/>
          <w:szCs w:val="24"/>
          <w:rtl/>
        </w:rPr>
        <w:t>ה</w:t>
      </w:r>
      <w:r w:rsidRPr="00C22BA3">
        <w:rPr>
          <w:rFonts w:ascii="Century" w:hAnsi="Century" w:cs="Miriam" w:hint="cs"/>
          <w:b/>
          <w:spacing w:val="0"/>
          <w:szCs w:val="24"/>
          <w:rtl/>
        </w:rPr>
        <w:t>"כ נתניהו</w:t>
      </w:r>
      <w:r>
        <w:rPr>
          <w:rFonts w:hint="cs"/>
          <w:rtl/>
        </w:rPr>
        <w:t xml:space="preserve">) יש לערוך בהתאם לעקרון המושרש של "כשירות לחוד ושיקול דעת לחוד"; ובהקשר זה מקובלת עליי הקביעה שלפיה הלכת </w:t>
      </w:r>
      <w:r w:rsidRPr="00A54F29">
        <w:rPr>
          <w:rFonts w:ascii="Century" w:hAnsi="Century" w:cs="Miriam" w:hint="cs"/>
          <w:b/>
          <w:spacing w:val="0"/>
          <w:szCs w:val="24"/>
          <w:rtl/>
        </w:rPr>
        <w:t>דרעי-פנחסי</w:t>
      </w:r>
      <w:r>
        <w:rPr>
          <w:rFonts w:hint="cs"/>
          <w:rtl/>
        </w:rPr>
        <w:t>, הנוגעת למינוי ולהעברת שרים מתפקידם, חיה ונושמת גם כיום ולאחר חקיקתו של חוק-יסוד: הממשלה החדש משנת 2001. עוד מקובל עליי כי בכל הנוגע ל</w:t>
      </w:r>
      <w:r w:rsidRPr="00C22BA3">
        <w:rPr>
          <w:rFonts w:ascii="Century" w:hAnsi="Century" w:cs="Miriam" w:hint="cs"/>
          <w:b/>
          <w:spacing w:val="0"/>
          <w:szCs w:val="24"/>
          <w:rtl/>
        </w:rPr>
        <w:t>תנאי הכשירות</w:t>
      </w:r>
      <w:r w:rsidRPr="00C22BA3">
        <w:rPr>
          <w:rFonts w:hint="cs"/>
          <w:rtl/>
        </w:rPr>
        <w:t xml:space="preserve"> </w:t>
      </w:r>
      <w:r>
        <w:rPr>
          <w:rFonts w:hint="cs"/>
          <w:rtl/>
        </w:rPr>
        <w:t>הסטטוטוריים, כתב האישום התלוי ועומד נגד חה</w:t>
      </w:r>
      <w:r>
        <w:rPr>
          <w:rtl/>
        </w:rPr>
        <w:t>"</w:t>
      </w:r>
      <w:r>
        <w:rPr>
          <w:rFonts w:hint="cs"/>
          <w:rtl/>
        </w:rPr>
        <w:t xml:space="preserve">כ נתניהו אינו מונע את הטלת הרכבת הממשלה עליו; וכי במישור </w:t>
      </w:r>
      <w:r w:rsidRPr="002D62D3">
        <w:rPr>
          <w:rFonts w:ascii="Century" w:hAnsi="Century" w:cs="Miriam" w:hint="cs"/>
          <w:b/>
          <w:spacing w:val="0"/>
          <w:szCs w:val="24"/>
          <w:rtl/>
        </w:rPr>
        <w:t>שיקול הדעת</w:t>
      </w:r>
      <w:r>
        <w:rPr>
          <w:rFonts w:hint="cs"/>
          <w:rtl/>
        </w:rPr>
        <w:t xml:space="preserve"> </w:t>
      </w:r>
      <w:r>
        <w:rPr>
          <w:rtl/>
        </w:rPr>
        <w:t>–</w:t>
      </w:r>
      <w:r>
        <w:rPr>
          <w:rFonts w:hint="cs"/>
          <w:rtl/>
        </w:rPr>
        <w:t xml:space="preserve"> מבין ארבעת הגורמים שציינו העותרים, הגורם היחיד שמפעיל שיקול דעת מהותי במינוי ראש הממשלה, בשלב שבו הכדור הועבר למגרשה של הכנסת מכוח סעיף 10(א) לחוק-יסוד: הממשלה, הוא "רוב חברי הכנסת" המבקשים להטיל מלאכה זו על חבר כנסת פלוני. כפי שהיטיבה הנשיאה לבאר, שיקול הדעת של חברי הכנסת אינו חסין מביקורת שיפוטית </w:t>
      </w:r>
      <w:r>
        <w:rPr>
          <w:rtl/>
        </w:rPr>
        <w:t>–</w:t>
      </w:r>
      <w:r>
        <w:rPr>
          <w:rFonts w:hint="cs"/>
          <w:rtl/>
        </w:rPr>
        <w:t xml:space="preserve"> ואולם התערבות בהחלטה שעניינה בקשתם להטיל את הרכבת הממשלה על חבר כנסת מסוים, מוגבלת למצבים נדירים ולנסיבות קיצוניות בלבד שמקרה זה אינו נמנה עימם. </w:t>
      </w:r>
    </w:p>
    <w:p w:rsidR="00BA3662" w:rsidRDefault="00BA3662" w:rsidP="00BA3662">
      <w:pPr>
        <w:pStyle w:val="Ruller40"/>
        <w:rPr>
          <w:rtl/>
        </w:rPr>
      </w:pPr>
    </w:p>
    <w:p w:rsidR="00BA3662" w:rsidRDefault="00BA3662" w:rsidP="00BA3662">
      <w:pPr>
        <w:pStyle w:val="Ruller40"/>
        <w:rPr>
          <w:rtl/>
        </w:rPr>
      </w:pPr>
      <w:r>
        <w:rPr>
          <w:rFonts w:hint="cs"/>
          <w:rtl/>
        </w:rPr>
        <w:tab/>
        <w:t>אבאר בנקודה זו, כי עמדתי שלפיה נשיא המדינה אינו מפעיל שיקול דעת מהותי בבואו להטיל את מלאכת הרכבת הממשלה על אחד מחברי הכנסת, מוגבלת ותחומה לנסיבותיו של סעיף 10(א) לחוק-יסוד: הממשלה. היינו: לשלב שבו לא צלחה הרכבת הממשלה בידי מי שהתפקיד הוטל עליו לכתחילה על ידי נשיא המדינה, שאז "</w:t>
      </w:r>
      <w:r w:rsidRPr="007C7025">
        <w:rPr>
          <w:rFonts w:ascii="Century" w:hAnsi="Century" w:cs="Miriam" w:hint="eastAsia"/>
          <w:b/>
          <w:spacing w:val="0"/>
          <w:szCs w:val="24"/>
          <w:rtl/>
        </w:rPr>
        <w:t>רשאים</w:t>
      </w:r>
      <w:r w:rsidRPr="007C7025">
        <w:rPr>
          <w:rFonts w:ascii="Century" w:hAnsi="Century" w:cs="Miriam"/>
          <w:b/>
          <w:spacing w:val="0"/>
          <w:szCs w:val="24"/>
          <w:rtl/>
        </w:rPr>
        <w:t xml:space="preserve"> </w:t>
      </w:r>
      <w:r w:rsidRPr="007C7025">
        <w:rPr>
          <w:rFonts w:ascii="Century" w:hAnsi="Century" w:cs="Miriam" w:hint="eastAsia"/>
          <w:b/>
          <w:spacing w:val="0"/>
          <w:szCs w:val="24"/>
          <w:rtl/>
        </w:rPr>
        <w:t>רוב</w:t>
      </w:r>
      <w:r w:rsidRPr="007C7025">
        <w:rPr>
          <w:rFonts w:ascii="Century" w:hAnsi="Century" w:cs="Miriam"/>
          <w:b/>
          <w:spacing w:val="0"/>
          <w:szCs w:val="24"/>
          <w:rtl/>
        </w:rPr>
        <w:t xml:space="preserve"> </w:t>
      </w:r>
      <w:r w:rsidRPr="007C7025">
        <w:rPr>
          <w:rFonts w:ascii="Century" w:hAnsi="Century" w:cs="Miriam" w:hint="eastAsia"/>
          <w:b/>
          <w:spacing w:val="0"/>
          <w:szCs w:val="24"/>
          <w:rtl/>
        </w:rPr>
        <w:t>חברי</w:t>
      </w:r>
      <w:r w:rsidRPr="007C7025">
        <w:rPr>
          <w:rFonts w:ascii="Century" w:hAnsi="Century" w:cs="Miriam"/>
          <w:b/>
          <w:spacing w:val="0"/>
          <w:szCs w:val="24"/>
          <w:rtl/>
        </w:rPr>
        <w:t xml:space="preserve"> </w:t>
      </w:r>
      <w:r w:rsidRPr="007C7025">
        <w:rPr>
          <w:rFonts w:ascii="Century" w:hAnsi="Century" w:cs="Miriam" w:hint="eastAsia"/>
          <w:b/>
          <w:spacing w:val="0"/>
          <w:szCs w:val="24"/>
          <w:rtl/>
        </w:rPr>
        <w:t>הכנסת</w:t>
      </w:r>
      <w:r w:rsidRPr="007C7025">
        <w:rPr>
          <w:rFonts w:ascii="Century" w:hAnsi="Century" w:cs="Miriam"/>
          <w:b/>
          <w:spacing w:val="0"/>
          <w:szCs w:val="24"/>
          <w:rtl/>
        </w:rPr>
        <w:t xml:space="preserve"> </w:t>
      </w:r>
      <w:r w:rsidRPr="007C7025">
        <w:rPr>
          <w:rFonts w:ascii="Century" w:hAnsi="Century" w:cs="Miriam" w:hint="eastAsia"/>
          <w:b/>
          <w:spacing w:val="0"/>
          <w:szCs w:val="24"/>
          <w:rtl/>
        </w:rPr>
        <w:t>לבקש</w:t>
      </w:r>
      <w:r w:rsidRPr="007C7025">
        <w:rPr>
          <w:rFonts w:ascii="Century" w:hAnsi="Century" w:cs="Miriam"/>
          <w:b/>
          <w:spacing w:val="0"/>
          <w:szCs w:val="24"/>
          <w:rtl/>
        </w:rPr>
        <w:t xml:space="preserve"> </w:t>
      </w:r>
      <w:r w:rsidRPr="007C7025">
        <w:rPr>
          <w:rFonts w:ascii="Century" w:hAnsi="Century" w:cs="Miriam" w:hint="eastAsia"/>
          <w:b/>
          <w:spacing w:val="0"/>
          <w:szCs w:val="24"/>
          <w:rtl/>
        </w:rPr>
        <w:t>מנשיא</w:t>
      </w:r>
      <w:r w:rsidRPr="007C7025">
        <w:rPr>
          <w:rFonts w:ascii="Century" w:hAnsi="Century" w:cs="Miriam"/>
          <w:b/>
          <w:spacing w:val="0"/>
          <w:szCs w:val="24"/>
          <w:rtl/>
        </w:rPr>
        <w:t xml:space="preserve"> </w:t>
      </w:r>
      <w:r w:rsidRPr="007C7025">
        <w:rPr>
          <w:rFonts w:ascii="Century" w:hAnsi="Century" w:cs="Miriam" w:hint="eastAsia"/>
          <w:b/>
          <w:spacing w:val="0"/>
          <w:szCs w:val="24"/>
          <w:rtl/>
        </w:rPr>
        <w:t>המדינה</w:t>
      </w:r>
      <w:r w:rsidRPr="007C7025">
        <w:rPr>
          <w:rFonts w:ascii="Century" w:hAnsi="Century" w:cs="Miriam"/>
          <w:b/>
          <w:spacing w:val="0"/>
          <w:szCs w:val="24"/>
          <w:rtl/>
        </w:rPr>
        <w:t xml:space="preserve">, </w:t>
      </w:r>
      <w:r w:rsidRPr="007C7025">
        <w:rPr>
          <w:rFonts w:ascii="Century" w:hAnsi="Century" w:cs="Miriam" w:hint="eastAsia"/>
          <w:b/>
          <w:spacing w:val="0"/>
          <w:szCs w:val="24"/>
          <w:rtl/>
        </w:rPr>
        <w:t>בכתב</w:t>
      </w:r>
      <w:r w:rsidRPr="007C7025">
        <w:rPr>
          <w:rFonts w:ascii="Century" w:hAnsi="Century" w:cs="Miriam"/>
          <w:b/>
          <w:spacing w:val="0"/>
          <w:szCs w:val="24"/>
          <w:rtl/>
        </w:rPr>
        <w:t xml:space="preserve">, </w:t>
      </w:r>
      <w:r w:rsidRPr="007C7025">
        <w:rPr>
          <w:rFonts w:ascii="Century" w:hAnsi="Century" w:cs="Miriam" w:hint="eastAsia"/>
          <w:b/>
          <w:spacing w:val="0"/>
          <w:szCs w:val="24"/>
          <w:rtl/>
        </w:rPr>
        <w:t>להטיל</w:t>
      </w:r>
      <w:r w:rsidRPr="007C7025">
        <w:rPr>
          <w:rFonts w:ascii="Century" w:hAnsi="Century" w:cs="Miriam"/>
          <w:b/>
          <w:spacing w:val="0"/>
          <w:szCs w:val="24"/>
          <w:rtl/>
        </w:rPr>
        <w:t xml:space="preserve"> </w:t>
      </w:r>
      <w:r w:rsidRPr="007C7025">
        <w:rPr>
          <w:rFonts w:ascii="Century" w:hAnsi="Century" w:cs="Miriam" w:hint="eastAsia"/>
          <w:b/>
          <w:spacing w:val="0"/>
          <w:szCs w:val="24"/>
          <w:rtl/>
        </w:rPr>
        <w:t>את</w:t>
      </w:r>
      <w:r w:rsidRPr="007C7025">
        <w:rPr>
          <w:rFonts w:ascii="Century" w:hAnsi="Century" w:cs="Miriam"/>
          <w:b/>
          <w:spacing w:val="0"/>
          <w:szCs w:val="24"/>
          <w:rtl/>
        </w:rPr>
        <w:t xml:space="preserve"> </w:t>
      </w:r>
      <w:r w:rsidRPr="007C7025">
        <w:rPr>
          <w:rFonts w:ascii="Century" w:hAnsi="Century" w:cs="Miriam" w:hint="eastAsia"/>
          <w:b/>
          <w:spacing w:val="0"/>
          <w:szCs w:val="24"/>
          <w:rtl/>
        </w:rPr>
        <w:t>התפקיד</w:t>
      </w:r>
      <w:r w:rsidRPr="007C7025">
        <w:rPr>
          <w:rFonts w:ascii="Century" w:hAnsi="Century" w:cs="Miriam"/>
          <w:b/>
          <w:spacing w:val="0"/>
          <w:szCs w:val="24"/>
          <w:rtl/>
        </w:rPr>
        <w:t xml:space="preserve"> </w:t>
      </w:r>
      <w:r w:rsidRPr="007C7025">
        <w:rPr>
          <w:rFonts w:ascii="Century" w:hAnsi="Century" w:cs="Miriam" w:hint="eastAsia"/>
          <w:b/>
          <w:spacing w:val="0"/>
          <w:szCs w:val="24"/>
          <w:rtl/>
        </w:rPr>
        <w:t>על</w:t>
      </w:r>
      <w:r w:rsidRPr="007C7025">
        <w:rPr>
          <w:rFonts w:ascii="Century" w:hAnsi="Century" w:cs="Miriam"/>
          <w:b/>
          <w:spacing w:val="0"/>
          <w:szCs w:val="24"/>
          <w:rtl/>
        </w:rPr>
        <w:t xml:space="preserve"> </w:t>
      </w:r>
      <w:r w:rsidRPr="007C7025">
        <w:rPr>
          <w:rFonts w:ascii="Century" w:hAnsi="Century" w:cs="Miriam" w:hint="eastAsia"/>
          <w:b/>
          <w:spacing w:val="0"/>
          <w:szCs w:val="24"/>
          <w:rtl/>
        </w:rPr>
        <w:t>חבר</w:t>
      </w:r>
      <w:r w:rsidRPr="007C7025">
        <w:rPr>
          <w:rFonts w:ascii="Century" w:hAnsi="Century" w:cs="Miriam"/>
          <w:b/>
          <w:spacing w:val="0"/>
          <w:szCs w:val="24"/>
          <w:rtl/>
        </w:rPr>
        <w:t xml:space="preserve"> </w:t>
      </w:r>
      <w:r w:rsidRPr="007C7025">
        <w:rPr>
          <w:rFonts w:ascii="Century" w:hAnsi="Century" w:cs="Miriam" w:hint="eastAsia"/>
          <w:b/>
          <w:spacing w:val="0"/>
          <w:szCs w:val="24"/>
          <w:rtl/>
        </w:rPr>
        <w:t>הכנסת</w:t>
      </w:r>
      <w:r w:rsidRPr="007C7025">
        <w:rPr>
          <w:rFonts w:ascii="Century" w:hAnsi="Century" w:cs="Miriam"/>
          <w:b/>
          <w:spacing w:val="0"/>
          <w:szCs w:val="24"/>
          <w:rtl/>
        </w:rPr>
        <w:t xml:space="preserve"> </w:t>
      </w:r>
      <w:r w:rsidRPr="007C7025">
        <w:rPr>
          <w:rFonts w:ascii="Century" w:hAnsi="Century" w:cs="Miriam" w:hint="eastAsia"/>
          <w:b/>
          <w:spacing w:val="0"/>
          <w:szCs w:val="24"/>
          <w:rtl/>
        </w:rPr>
        <w:t>פלוני</w:t>
      </w:r>
      <w:r w:rsidRPr="007C7025">
        <w:rPr>
          <w:rFonts w:ascii="Century" w:hAnsi="Century" w:cs="Miriam"/>
          <w:b/>
          <w:spacing w:val="0"/>
          <w:szCs w:val="24"/>
          <w:rtl/>
        </w:rPr>
        <w:t xml:space="preserve">, </w:t>
      </w:r>
      <w:r w:rsidRPr="007C7025">
        <w:rPr>
          <w:rFonts w:ascii="Century" w:hAnsi="Century" w:cs="Miriam" w:hint="eastAsia"/>
          <w:b/>
          <w:spacing w:val="0"/>
          <w:szCs w:val="24"/>
          <w:rtl/>
        </w:rPr>
        <w:t>שהסכים</w:t>
      </w:r>
      <w:r w:rsidRPr="007C7025">
        <w:rPr>
          <w:rFonts w:ascii="Century" w:hAnsi="Century" w:cs="Miriam"/>
          <w:b/>
          <w:spacing w:val="0"/>
          <w:szCs w:val="24"/>
          <w:rtl/>
        </w:rPr>
        <w:t xml:space="preserve"> </w:t>
      </w:r>
      <w:r w:rsidRPr="007C7025">
        <w:rPr>
          <w:rFonts w:ascii="Century" w:hAnsi="Century" w:cs="Miriam" w:hint="eastAsia"/>
          <w:b/>
          <w:spacing w:val="0"/>
          <w:szCs w:val="24"/>
          <w:rtl/>
        </w:rPr>
        <w:t>לכך</w:t>
      </w:r>
      <w:r w:rsidRPr="007C7025">
        <w:rPr>
          <w:rFonts w:ascii="Century" w:hAnsi="Century" w:cs="Miriam"/>
          <w:b/>
          <w:spacing w:val="0"/>
          <w:szCs w:val="24"/>
          <w:rtl/>
        </w:rPr>
        <w:t xml:space="preserve"> </w:t>
      </w:r>
      <w:r w:rsidRPr="007C7025">
        <w:rPr>
          <w:rFonts w:ascii="Century" w:hAnsi="Century" w:cs="Miriam" w:hint="eastAsia"/>
          <w:b/>
          <w:spacing w:val="0"/>
          <w:szCs w:val="24"/>
          <w:rtl/>
        </w:rPr>
        <w:t>בכתב</w:t>
      </w:r>
      <w:r>
        <w:rPr>
          <w:rFonts w:hint="cs"/>
          <w:rtl/>
        </w:rPr>
        <w:t>".</w:t>
      </w:r>
      <w:r w:rsidRPr="007C7025">
        <w:rPr>
          <w:rtl/>
        </w:rPr>
        <w:t xml:space="preserve"> </w:t>
      </w:r>
      <w:r>
        <w:rPr>
          <w:rFonts w:hint="cs"/>
          <w:rtl/>
        </w:rPr>
        <w:t xml:space="preserve">ואינני מביעה דעה לעניין טיבו והיקפו של שיקול הדעת שמפעיל הנשיא במקרה של הטלת מלאכת הרכבת הממשלה לפי סעיפים 7 ו-9 לחוק היסוד, משהדבר אינו נדרש לענייננו.   </w:t>
      </w:r>
    </w:p>
    <w:p w:rsidR="00BA3662" w:rsidRDefault="00BA3662" w:rsidP="00BA3662">
      <w:pPr>
        <w:pStyle w:val="Ruller40"/>
        <w:rPr>
          <w:rtl/>
        </w:rPr>
      </w:pPr>
    </w:p>
    <w:p w:rsidR="00BA3662" w:rsidRDefault="00BA3662" w:rsidP="00BA3662">
      <w:pPr>
        <w:pStyle w:val="Ruller40"/>
        <w:rPr>
          <w:rtl/>
        </w:rPr>
      </w:pPr>
      <w:r>
        <w:rPr>
          <w:rFonts w:hint="cs"/>
          <w:rtl/>
        </w:rPr>
        <w:t>2.</w:t>
      </w:r>
      <w:r>
        <w:rPr>
          <w:rFonts w:hint="cs"/>
          <w:rtl/>
        </w:rPr>
        <w:tab/>
        <w:t xml:space="preserve">ובחזרה לשיקול הדעת של חברי הכנסת כגורם הממנה את ראש הממשלה. אבקש למקד את המבט ולהוסיף מילים משלי בנוגע לטיבה של הביקורת השיפוטית שאנו מתבקשים להעביר על החלטתם של רוב חברי הכנסת לבקש מנשיא המדינה להטיל את הרכבת הממשלה על חבר כנסת פלוני. התערבות שיפוטית בעניין זה מהווה פגיעה בליבת המשטר הדמוקרטי הישראלי ובמקור שממנו יונק משטר זה את חיותו ואת זכות קיומו </w:t>
      </w:r>
      <w:r>
        <w:rPr>
          <w:rtl/>
        </w:rPr>
        <w:t>–</w:t>
      </w:r>
      <w:r>
        <w:rPr>
          <w:rFonts w:hint="cs"/>
          <w:rtl/>
        </w:rPr>
        <w:t xml:space="preserve"> הוא רצון הבוחר. כאשר אנו מתבקשים על ידי העותרים להעמיד את בקשת חברי הכנסת לביקורת שיפוטית, למעשה מתבקש מאיתנו להעמיד את שיקול דעתו של </w:t>
      </w:r>
      <w:r w:rsidRPr="00161515">
        <w:rPr>
          <w:rFonts w:ascii="Century" w:hAnsi="Century" w:cs="Miriam" w:hint="cs"/>
          <w:b/>
          <w:spacing w:val="0"/>
          <w:szCs w:val="24"/>
          <w:rtl/>
        </w:rPr>
        <w:t>הבוחר</w:t>
      </w:r>
      <w:r w:rsidRPr="00161515">
        <w:rPr>
          <w:rFonts w:hint="cs"/>
          <w:rtl/>
        </w:rPr>
        <w:t xml:space="preserve"> </w:t>
      </w:r>
      <w:r>
        <w:rPr>
          <w:rFonts w:hint="cs"/>
          <w:rtl/>
        </w:rPr>
        <w:t xml:space="preserve">לביקורת שיפוטית ולהחליפו בשיקול דעתנו. </w:t>
      </w:r>
    </w:p>
    <w:p w:rsidR="00BA3662" w:rsidRDefault="00BA3662" w:rsidP="00BA3662">
      <w:pPr>
        <w:pStyle w:val="Ruller40"/>
        <w:rPr>
          <w:rtl/>
        </w:rPr>
      </w:pPr>
    </w:p>
    <w:p w:rsidR="00BA3662" w:rsidRDefault="00BA3662" w:rsidP="00BA3662">
      <w:pPr>
        <w:pStyle w:val="Ruller40"/>
        <w:rPr>
          <w:rtl/>
        </w:rPr>
      </w:pPr>
      <w:r>
        <w:rPr>
          <w:rFonts w:hint="cs"/>
          <w:rtl/>
        </w:rPr>
        <w:tab/>
        <w:t>וכאן המקום להבהיר: העובדה שהמפלגה שבראשה עומד חה</w:t>
      </w:r>
      <w:r>
        <w:rPr>
          <w:rtl/>
        </w:rPr>
        <w:t>"</w:t>
      </w:r>
      <w:r>
        <w:rPr>
          <w:rFonts w:hint="cs"/>
          <w:rtl/>
        </w:rPr>
        <w:t>כ נתניהו לא זכתה במרבית קולות הבוחרים בבחירות, אינה גורעת מכך שמינויו לראש ממשלה הוא שמשקף את רצון הבוחר. 72 חברי כנסת פנו בבקשה לנשיא המדינה להטיל את הרכבת הממשלה על חה</w:t>
      </w:r>
      <w:r>
        <w:rPr>
          <w:rtl/>
        </w:rPr>
        <w:t>"</w:t>
      </w:r>
      <w:r>
        <w:rPr>
          <w:rFonts w:hint="cs"/>
          <w:rtl/>
        </w:rPr>
        <w:t xml:space="preserve">כ נתניהו, ובעשותם כן פעלו מכוח "ייפוי כוח בלתי חוזר" כלשונו של השופט </w:t>
      </w:r>
      <w:r w:rsidRPr="001F5E1C">
        <w:rPr>
          <w:rFonts w:ascii="Century" w:hAnsi="Century" w:cs="Miriam" w:hint="cs"/>
          <w:b/>
          <w:spacing w:val="0"/>
          <w:szCs w:val="24"/>
          <w:rtl/>
        </w:rPr>
        <w:t>י' עמית</w:t>
      </w:r>
      <w:r>
        <w:rPr>
          <w:rFonts w:hint="cs"/>
          <w:rtl/>
        </w:rPr>
        <w:t>, שניתן להם בקלפי.</w:t>
      </w:r>
    </w:p>
    <w:p w:rsidR="00BA3662" w:rsidRDefault="00BA3662" w:rsidP="00BA3662">
      <w:pPr>
        <w:pStyle w:val="Ruller40"/>
        <w:rPr>
          <w:rtl/>
        </w:rPr>
      </w:pPr>
    </w:p>
    <w:p w:rsidR="00BA3662" w:rsidRDefault="00BA3662" w:rsidP="00BA3662">
      <w:pPr>
        <w:pStyle w:val="Ruller40"/>
        <w:rPr>
          <w:rtl/>
        </w:rPr>
      </w:pPr>
      <w:r>
        <w:rPr>
          <w:rFonts w:hint="cs"/>
          <w:rtl/>
        </w:rPr>
        <w:t>3.</w:t>
      </w:r>
      <w:r>
        <w:rPr>
          <w:rFonts w:hint="cs"/>
          <w:rtl/>
        </w:rPr>
        <w:tab/>
        <w:t>נגד חה</w:t>
      </w:r>
      <w:r>
        <w:rPr>
          <w:rtl/>
        </w:rPr>
        <w:t>"</w:t>
      </w:r>
      <w:r>
        <w:rPr>
          <w:rFonts w:hint="cs"/>
          <w:rtl/>
        </w:rPr>
        <w:t>כ נתניהו תלוי ועומד כתב אישום חמור במיוחד. במהלך כהונתו הוא יתפוס את ספסל הנאשמים בבית המשפט המחוזי בירושלים ויעמוד לדין פלילי בעבירות שוחד, מרמה והפרת אמונים, שנעשו לפי הנטען בכתב האישום בזיקה לתפקידו הציבורי ותוך פגיעה מהותית באמון הציבור ובטוהר המידות. חרף האמור, עד לפרסומו של פסק דין זה כבר יושבע חה</w:t>
      </w:r>
      <w:r>
        <w:rPr>
          <w:rtl/>
        </w:rPr>
        <w:t>"</w:t>
      </w:r>
      <w:r>
        <w:rPr>
          <w:rFonts w:hint="cs"/>
          <w:rtl/>
        </w:rPr>
        <w:t xml:space="preserve">כ נתניהו לתפקיד ראש הממשלה </w:t>
      </w:r>
      <w:r w:rsidRPr="005C6B3C">
        <w:rPr>
          <w:rFonts w:hint="cs"/>
          <w:rtl/>
        </w:rPr>
        <w:t>ויעמוד בראשה של הממשלה ה-35</w:t>
      </w:r>
      <w:r>
        <w:rPr>
          <w:rFonts w:hint="cs"/>
          <w:rtl/>
        </w:rPr>
        <w:t xml:space="preserve"> של מדינת ישראל, וזאת בסיומה של תקופת בחירות סוערת שבה האישומים נגדו עמדו במרכז הבמה. זוהי פעם ראשונה בתולדות המדינה שבה אמון הציבור ניתן בבחירות למי שמתנהל נגדו הליך פלילי בשל השחתת טוהר המידות בשלטון. בנימין נתניהו עצמו אינו סבור שעצם הגשת כתב האישום נגדו מונעת ממנו לכהן כראש ממשלה;</w:t>
      </w:r>
      <w:r>
        <w:t xml:space="preserve"> </w:t>
      </w:r>
      <w:r>
        <w:rPr>
          <w:rFonts w:hint="cs"/>
          <w:rtl/>
        </w:rPr>
        <w:t xml:space="preserve">חברי המפלגה שבראשה הוא עומד אינם סבורים כי הגשת כתב האישום נגדו מונעת ממנו לכהן כראש ממשלה, וכך גם חברי המפלגות שחברו אליו בהסכמים קואליציוניים; תרגום תוצאות הבחירות לשפת המעשה מעיד על כך שאף ציבור הבוחרים אינו סבור כי הגשת כתב </w:t>
      </w:r>
      <w:r w:rsidRPr="00CA40EB">
        <w:rPr>
          <w:rFonts w:hint="cs"/>
          <w:rtl/>
        </w:rPr>
        <w:t>ה</w:t>
      </w:r>
      <w:r>
        <w:rPr>
          <w:rFonts w:hint="cs"/>
          <w:rtl/>
        </w:rPr>
        <w:t>אישום מונעת מחה</w:t>
      </w:r>
      <w:r>
        <w:rPr>
          <w:rtl/>
        </w:rPr>
        <w:t>"</w:t>
      </w:r>
      <w:r>
        <w:rPr>
          <w:rFonts w:hint="cs"/>
          <w:rtl/>
        </w:rPr>
        <w:t xml:space="preserve">כ נתניהו לכהן כראש ממשלה. העותרים מבקשים מאיתנו לפסוק אחרת. </w:t>
      </w:r>
    </w:p>
    <w:p w:rsidR="00BA3662" w:rsidRDefault="00BA3662" w:rsidP="00BA3662">
      <w:pPr>
        <w:pStyle w:val="Ruller40"/>
        <w:rPr>
          <w:rtl/>
        </w:rPr>
      </w:pPr>
    </w:p>
    <w:p w:rsidR="00BA3662" w:rsidRDefault="00BA3662" w:rsidP="00BA3662">
      <w:pPr>
        <w:pStyle w:val="Ruller40"/>
        <w:rPr>
          <w:rtl/>
        </w:rPr>
      </w:pPr>
      <w:r>
        <w:rPr>
          <w:rFonts w:hint="cs"/>
          <w:rtl/>
        </w:rPr>
        <w:t>4.</w:t>
      </w:r>
      <w:r>
        <w:rPr>
          <w:rFonts w:hint="cs"/>
          <w:rtl/>
        </w:rPr>
        <w:tab/>
        <w:t xml:space="preserve">על פי הלכת </w:t>
      </w:r>
      <w:r w:rsidRPr="006D7995">
        <w:rPr>
          <w:rFonts w:ascii="Century" w:hAnsi="Century" w:cs="Miriam" w:hint="cs"/>
          <w:b/>
          <w:spacing w:val="0"/>
          <w:szCs w:val="24"/>
          <w:rtl/>
        </w:rPr>
        <w:t>דרעי-פנחסי</w:t>
      </w:r>
      <w:r>
        <w:rPr>
          <w:rFonts w:hint="cs"/>
          <w:rtl/>
        </w:rPr>
        <w:t xml:space="preserve">, הגשת כתב אישום חמור נגד </w:t>
      </w:r>
      <w:r w:rsidRPr="003F5F2B">
        <w:rPr>
          <w:rFonts w:ascii="Century" w:hAnsi="Century" w:cs="Miriam" w:hint="cs"/>
          <w:b/>
          <w:spacing w:val="0"/>
          <w:szCs w:val="24"/>
          <w:rtl/>
        </w:rPr>
        <w:t>שר</w:t>
      </w:r>
      <w:r w:rsidRPr="003F5F2B">
        <w:rPr>
          <w:rFonts w:hint="cs"/>
          <w:rtl/>
        </w:rPr>
        <w:t xml:space="preserve"> </w:t>
      </w:r>
      <w:r>
        <w:rPr>
          <w:rFonts w:hint="cs"/>
          <w:rtl/>
        </w:rPr>
        <w:t>או סגן שר מחייבת את ראש הממשלה להפעיל את הסמכות הנתונה לו ולהורות על פיטוריו של השר מן הממשלה (</w:t>
      </w:r>
      <w:r>
        <w:rPr>
          <w:rFonts w:hint="eastAsia"/>
          <w:rtl/>
        </w:rPr>
        <w:t>בג</w:t>
      </w:r>
      <w:r>
        <w:rPr>
          <w:rtl/>
        </w:rPr>
        <w:t>"</w:t>
      </w:r>
      <w:r>
        <w:rPr>
          <w:rFonts w:hint="eastAsia"/>
          <w:rtl/>
        </w:rPr>
        <w:t>ץ</w:t>
      </w:r>
      <w:r>
        <w:rPr>
          <w:rtl/>
        </w:rPr>
        <w:t xml:space="preserve"> 3094/93 </w:t>
      </w:r>
      <w:r w:rsidRPr="0031138B">
        <w:rPr>
          <w:rFonts w:ascii="Century" w:hAnsi="Century" w:cs="Miriam" w:hint="eastAsia"/>
          <w:b/>
          <w:spacing w:val="0"/>
          <w:szCs w:val="24"/>
          <w:rtl/>
        </w:rPr>
        <w:t>התנועה</w:t>
      </w:r>
      <w:r w:rsidRPr="0031138B">
        <w:rPr>
          <w:rFonts w:ascii="Century" w:hAnsi="Century" w:cs="Miriam"/>
          <w:b/>
          <w:spacing w:val="0"/>
          <w:szCs w:val="24"/>
          <w:rtl/>
        </w:rPr>
        <w:t xml:space="preserve"> </w:t>
      </w:r>
      <w:r w:rsidRPr="0031138B">
        <w:rPr>
          <w:rFonts w:ascii="Century" w:hAnsi="Century" w:cs="Miriam" w:hint="eastAsia"/>
          <w:b/>
          <w:spacing w:val="0"/>
          <w:szCs w:val="24"/>
          <w:rtl/>
        </w:rPr>
        <w:t>למען</w:t>
      </w:r>
      <w:r w:rsidRPr="0031138B">
        <w:rPr>
          <w:rFonts w:ascii="Century" w:hAnsi="Century" w:cs="Miriam"/>
          <w:b/>
          <w:spacing w:val="0"/>
          <w:szCs w:val="24"/>
          <w:rtl/>
        </w:rPr>
        <w:t xml:space="preserve"> </w:t>
      </w:r>
      <w:r w:rsidRPr="0031138B">
        <w:rPr>
          <w:rFonts w:ascii="Century" w:hAnsi="Century" w:cs="Miriam" w:hint="eastAsia"/>
          <w:b/>
          <w:spacing w:val="0"/>
          <w:szCs w:val="24"/>
          <w:rtl/>
        </w:rPr>
        <w:t>איכות</w:t>
      </w:r>
      <w:r w:rsidRPr="0031138B">
        <w:rPr>
          <w:rFonts w:ascii="Century" w:hAnsi="Century" w:cs="Miriam"/>
          <w:b/>
          <w:spacing w:val="0"/>
          <w:szCs w:val="24"/>
          <w:rtl/>
        </w:rPr>
        <w:t xml:space="preserve"> </w:t>
      </w:r>
      <w:r w:rsidRPr="0031138B">
        <w:rPr>
          <w:rFonts w:ascii="Century" w:hAnsi="Century" w:cs="Miriam" w:hint="eastAsia"/>
          <w:b/>
          <w:spacing w:val="0"/>
          <w:szCs w:val="24"/>
          <w:rtl/>
        </w:rPr>
        <w:t>השלטון</w:t>
      </w:r>
      <w:r w:rsidRPr="0031138B">
        <w:rPr>
          <w:rFonts w:ascii="Century" w:hAnsi="Century" w:cs="Miriam"/>
          <w:b/>
          <w:spacing w:val="0"/>
          <w:szCs w:val="24"/>
          <w:rtl/>
        </w:rPr>
        <w:t xml:space="preserve"> </w:t>
      </w:r>
      <w:r w:rsidRPr="0031138B">
        <w:rPr>
          <w:rFonts w:ascii="Century" w:hAnsi="Century" w:cs="Miriam" w:hint="eastAsia"/>
          <w:b/>
          <w:spacing w:val="0"/>
          <w:szCs w:val="24"/>
          <w:rtl/>
        </w:rPr>
        <w:t>בישראל</w:t>
      </w:r>
      <w:r w:rsidRPr="0031138B">
        <w:rPr>
          <w:rFonts w:ascii="Century" w:hAnsi="Century" w:cs="Miriam"/>
          <w:b/>
          <w:spacing w:val="0"/>
          <w:szCs w:val="24"/>
          <w:rtl/>
        </w:rPr>
        <w:t xml:space="preserve"> </w:t>
      </w:r>
      <w:r w:rsidRPr="0031138B">
        <w:rPr>
          <w:rFonts w:ascii="Century" w:hAnsi="Century" w:cs="Miriam" w:hint="eastAsia"/>
          <w:b/>
          <w:spacing w:val="0"/>
          <w:szCs w:val="24"/>
          <w:rtl/>
        </w:rPr>
        <w:t>נ</w:t>
      </w:r>
      <w:r w:rsidRPr="0031138B">
        <w:rPr>
          <w:rFonts w:ascii="Century" w:hAnsi="Century" w:cs="Miriam"/>
          <w:b/>
          <w:spacing w:val="0"/>
          <w:szCs w:val="24"/>
          <w:rtl/>
        </w:rPr>
        <w:t xml:space="preserve">' </w:t>
      </w:r>
      <w:r w:rsidRPr="0031138B">
        <w:rPr>
          <w:rFonts w:ascii="Century" w:hAnsi="Century" w:cs="Miriam" w:hint="eastAsia"/>
          <w:b/>
          <w:spacing w:val="0"/>
          <w:szCs w:val="24"/>
          <w:rtl/>
        </w:rPr>
        <w:t>ממשלת</w:t>
      </w:r>
      <w:r w:rsidRPr="0031138B">
        <w:rPr>
          <w:rFonts w:ascii="Century" w:hAnsi="Century" w:cs="Miriam"/>
          <w:b/>
          <w:spacing w:val="0"/>
          <w:szCs w:val="24"/>
          <w:rtl/>
        </w:rPr>
        <w:t xml:space="preserve"> </w:t>
      </w:r>
      <w:r w:rsidRPr="0031138B">
        <w:rPr>
          <w:rFonts w:ascii="Century" w:hAnsi="Century" w:cs="Miriam" w:hint="eastAsia"/>
          <w:b/>
          <w:spacing w:val="0"/>
          <w:szCs w:val="24"/>
          <w:rtl/>
        </w:rPr>
        <w:t>ישראל</w:t>
      </w:r>
      <w:r>
        <w:rPr>
          <w:rtl/>
        </w:rPr>
        <w:t xml:space="preserve">, </w:t>
      </w:r>
      <w:r>
        <w:rPr>
          <w:rFonts w:hint="eastAsia"/>
          <w:rtl/>
        </w:rPr>
        <w:t>פ</w:t>
      </w:r>
      <w:r>
        <w:rPr>
          <w:rtl/>
        </w:rPr>
        <w:t>"</w:t>
      </w:r>
      <w:r>
        <w:rPr>
          <w:rFonts w:hint="eastAsia"/>
          <w:rtl/>
        </w:rPr>
        <w:t>ד</w:t>
      </w:r>
      <w:r>
        <w:rPr>
          <w:rtl/>
        </w:rPr>
        <w:t xml:space="preserve"> </w:t>
      </w:r>
      <w:r>
        <w:rPr>
          <w:rFonts w:hint="eastAsia"/>
          <w:rtl/>
        </w:rPr>
        <w:t>מז</w:t>
      </w:r>
      <w:r>
        <w:rPr>
          <w:rtl/>
        </w:rPr>
        <w:t>(5) 404 (1993)</w:t>
      </w:r>
      <w:r>
        <w:rPr>
          <w:rFonts w:hint="cs"/>
          <w:rtl/>
        </w:rPr>
        <w:t>;</w:t>
      </w:r>
      <w:r>
        <w:rPr>
          <w:rtl/>
        </w:rPr>
        <w:t xml:space="preserve"> </w:t>
      </w:r>
      <w:r>
        <w:rPr>
          <w:rFonts w:hint="eastAsia"/>
          <w:rtl/>
        </w:rPr>
        <w:t>בג</w:t>
      </w:r>
      <w:r>
        <w:rPr>
          <w:rtl/>
        </w:rPr>
        <w:t>"</w:t>
      </w:r>
      <w:r>
        <w:rPr>
          <w:rFonts w:hint="eastAsia"/>
          <w:rtl/>
        </w:rPr>
        <w:t>ץ</w:t>
      </w:r>
      <w:r>
        <w:rPr>
          <w:rtl/>
        </w:rPr>
        <w:t xml:space="preserve"> 4287/93 </w:t>
      </w:r>
      <w:r w:rsidRPr="0031138B">
        <w:rPr>
          <w:rFonts w:ascii="Century" w:hAnsi="Century" w:cs="Miriam" w:hint="eastAsia"/>
          <w:b/>
          <w:spacing w:val="0"/>
          <w:szCs w:val="24"/>
          <w:rtl/>
        </w:rPr>
        <w:t>אמיתי</w:t>
      </w:r>
      <w:r w:rsidRPr="0031138B">
        <w:rPr>
          <w:rFonts w:ascii="Century" w:hAnsi="Century" w:cs="Miriam"/>
          <w:b/>
          <w:spacing w:val="0"/>
          <w:szCs w:val="24"/>
          <w:rtl/>
        </w:rPr>
        <w:t xml:space="preserve"> - </w:t>
      </w:r>
      <w:r w:rsidRPr="0031138B">
        <w:rPr>
          <w:rFonts w:ascii="Century" w:hAnsi="Century" w:cs="Miriam" w:hint="eastAsia"/>
          <w:b/>
          <w:spacing w:val="0"/>
          <w:szCs w:val="24"/>
          <w:rtl/>
        </w:rPr>
        <w:t>אזרחים</w:t>
      </w:r>
      <w:r w:rsidRPr="0031138B">
        <w:rPr>
          <w:rFonts w:ascii="Century" w:hAnsi="Century" w:cs="Miriam"/>
          <w:b/>
          <w:spacing w:val="0"/>
          <w:szCs w:val="24"/>
          <w:rtl/>
        </w:rPr>
        <w:t xml:space="preserve"> </w:t>
      </w:r>
      <w:r w:rsidRPr="0031138B">
        <w:rPr>
          <w:rFonts w:ascii="Century" w:hAnsi="Century" w:cs="Miriam" w:hint="eastAsia"/>
          <w:b/>
          <w:spacing w:val="0"/>
          <w:szCs w:val="24"/>
          <w:rtl/>
        </w:rPr>
        <w:t>למען</w:t>
      </w:r>
      <w:r w:rsidRPr="0031138B">
        <w:rPr>
          <w:rFonts w:ascii="Century" w:hAnsi="Century" w:cs="Miriam"/>
          <w:b/>
          <w:spacing w:val="0"/>
          <w:szCs w:val="24"/>
          <w:rtl/>
        </w:rPr>
        <w:t xml:space="preserve"> </w:t>
      </w:r>
      <w:r w:rsidRPr="0031138B">
        <w:rPr>
          <w:rFonts w:ascii="Century" w:hAnsi="Century" w:cs="Miriam" w:hint="eastAsia"/>
          <w:b/>
          <w:spacing w:val="0"/>
          <w:szCs w:val="24"/>
          <w:rtl/>
        </w:rPr>
        <w:t>מינהל</w:t>
      </w:r>
      <w:r w:rsidRPr="0031138B">
        <w:rPr>
          <w:rFonts w:ascii="Century" w:hAnsi="Century" w:cs="Miriam"/>
          <w:b/>
          <w:spacing w:val="0"/>
          <w:szCs w:val="24"/>
          <w:rtl/>
        </w:rPr>
        <w:t xml:space="preserve"> </w:t>
      </w:r>
      <w:r w:rsidRPr="0031138B">
        <w:rPr>
          <w:rFonts w:ascii="Century" w:hAnsi="Century" w:cs="Miriam" w:hint="eastAsia"/>
          <w:b/>
          <w:spacing w:val="0"/>
          <w:szCs w:val="24"/>
          <w:rtl/>
        </w:rPr>
        <w:t>תקין</w:t>
      </w:r>
      <w:r w:rsidRPr="0031138B">
        <w:rPr>
          <w:rFonts w:ascii="Century" w:hAnsi="Century" w:cs="Miriam"/>
          <w:b/>
          <w:spacing w:val="0"/>
          <w:szCs w:val="24"/>
          <w:rtl/>
        </w:rPr>
        <w:t xml:space="preserve"> </w:t>
      </w:r>
      <w:r w:rsidRPr="0031138B">
        <w:rPr>
          <w:rFonts w:ascii="Century" w:hAnsi="Century" w:cs="Miriam" w:hint="eastAsia"/>
          <w:b/>
          <w:spacing w:val="0"/>
          <w:szCs w:val="24"/>
          <w:rtl/>
        </w:rPr>
        <w:t>וטוהר</w:t>
      </w:r>
      <w:r w:rsidRPr="0031138B">
        <w:rPr>
          <w:rFonts w:ascii="Century" w:hAnsi="Century" w:cs="Miriam"/>
          <w:b/>
          <w:spacing w:val="0"/>
          <w:szCs w:val="24"/>
          <w:rtl/>
        </w:rPr>
        <w:t xml:space="preserve"> </w:t>
      </w:r>
      <w:r w:rsidRPr="0031138B">
        <w:rPr>
          <w:rFonts w:ascii="Century" w:hAnsi="Century" w:cs="Miriam" w:hint="eastAsia"/>
          <w:b/>
          <w:spacing w:val="0"/>
          <w:szCs w:val="24"/>
          <w:rtl/>
        </w:rPr>
        <w:t>המידות</w:t>
      </w:r>
      <w:r w:rsidRPr="0031138B">
        <w:rPr>
          <w:rFonts w:ascii="Century" w:hAnsi="Century" w:cs="Miriam"/>
          <w:b/>
          <w:spacing w:val="0"/>
          <w:szCs w:val="24"/>
          <w:rtl/>
        </w:rPr>
        <w:t xml:space="preserve"> </w:t>
      </w:r>
      <w:r w:rsidRPr="0031138B">
        <w:rPr>
          <w:rFonts w:ascii="Century" w:hAnsi="Century" w:cs="Miriam" w:hint="eastAsia"/>
          <w:b/>
          <w:spacing w:val="0"/>
          <w:szCs w:val="24"/>
          <w:rtl/>
        </w:rPr>
        <w:t>נ</w:t>
      </w:r>
      <w:r w:rsidRPr="0031138B">
        <w:rPr>
          <w:rFonts w:ascii="Century" w:hAnsi="Century" w:cs="Miriam"/>
          <w:b/>
          <w:spacing w:val="0"/>
          <w:szCs w:val="24"/>
          <w:rtl/>
        </w:rPr>
        <w:t xml:space="preserve">' </w:t>
      </w:r>
      <w:r w:rsidRPr="0031138B">
        <w:rPr>
          <w:rFonts w:ascii="Century" w:hAnsi="Century" w:cs="Miriam" w:hint="eastAsia"/>
          <w:b/>
          <w:spacing w:val="0"/>
          <w:szCs w:val="24"/>
          <w:rtl/>
        </w:rPr>
        <w:t>יצחק</w:t>
      </w:r>
      <w:r w:rsidRPr="0031138B">
        <w:rPr>
          <w:rFonts w:ascii="Century" w:hAnsi="Century" w:cs="Miriam"/>
          <w:b/>
          <w:spacing w:val="0"/>
          <w:szCs w:val="24"/>
          <w:rtl/>
        </w:rPr>
        <w:t xml:space="preserve"> </w:t>
      </w:r>
      <w:r w:rsidRPr="0031138B">
        <w:rPr>
          <w:rFonts w:ascii="Century" w:hAnsi="Century" w:cs="Miriam" w:hint="eastAsia"/>
          <w:b/>
          <w:spacing w:val="0"/>
          <w:szCs w:val="24"/>
          <w:rtl/>
        </w:rPr>
        <w:t>רבין</w:t>
      </w:r>
      <w:r w:rsidRPr="0031138B">
        <w:rPr>
          <w:rFonts w:ascii="Century" w:hAnsi="Century" w:cs="Miriam"/>
          <w:b/>
          <w:spacing w:val="0"/>
          <w:szCs w:val="24"/>
          <w:rtl/>
        </w:rPr>
        <w:t xml:space="preserve">, </w:t>
      </w:r>
      <w:r w:rsidRPr="0031138B">
        <w:rPr>
          <w:rFonts w:ascii="Century" w:hAnsi="Century" w:cs="Miriam" w:hint="eastAsia"/>
          <w:b/>
          <w:spacing w:val="0"/>
          <w:szCs w:val="24"/>
          <w:rtl/>
        </w:rPr>
        <w:t>ראש</w:t>
      </w:r>
      <w:r w:rsidRPr="0031138B">
        <w:rPr>
          <w:rFonts w:ascii="Century" w:hAnsi="Century" w:cs="Miriam"/>
          <w:b/>
          <w:spacing w:val="0"/>
          <w:szCs w:val="24"/>
          <w:rtl/>
        </w:rPr>
        <w:t xml:space="preserve"> </w:t>
      </w:r>
      <w:r w:rsidRPr="0031138B">
        <w:rPr>
          <w:rFonts w:ascii="Century" w:hAnsi="Century" w:cs="Miriam" w:hint="eastAsia"/>
          <w:b/>
          <w:spacing w:val="0"/>
          <w:szCs w:val="24"/>
          <w:rtl/>
        </w:rPr>
        <w:t>ממשלת</w:t>
      </w:r>
      <w:r w:rsidRPr="0031138B">
        <w:rPr>
          <w:rFonts w:ascii="Century" w:hAnsi="Century" w:cs="Miriam"/>
          <w:b/>
          <w:spacing w:val="0"/>
          <w:szCs w:val="24"/>
          <w:rtl/>
        </w:rPr>
        <w:t xml:space="preserve"> </w:t>
      </w:r>
      <w:r w:rsidRPr="0031138B">
        <w:rPr>
          <w:rFonts w:ascii="Century" w:hAnsi="Century" w:cs="Miriam" w:hint="eastAsia"/>
          <w:b/>
          <w:spacing w:val="0"/>
          <w:szCs w:val="24"/>
          <w:rtl/>
        </w:rPr>
        <w:t>ישראל</w:t>
      </w:r>
      <w:r>
        <w:rPr>
          <w:rtl/>
        </w:rPr>
        <w:t xml:space="preserve">, </w:t>
      </w:r>
      <w:r>
        <w:rPr>
          <w:rFonts w:hint="eastAsia"/>
          <w:rtl/>
        </w:rPr>
        <w:t>פ</w:t>
      </w:r>
      <w:r>
        <w:rPr>
          <w:rtl/>
        </w:rPr>
        <w:t>"</w:t>
      </w:r>
      <w:r>
        <w:rPr>
          <w:rFonts w:hint="eastAsia"/>
          <w:rtl/>
        </w:rPr>
        <w:t>ד</w:t>
      </w:r>
      <w:r>
        <w:rPr>
          <w:rtl/>
        </w:rPr>
        <w:t xml:space="preserve"> </w:t>
      </w:r>
      <w:r>
        <w:rPr>
          <w:rFonts w:hint="eastAsia"/>
          <w:rtl/>
        </w:rPr>
        <w:t>מז</w:t>
      </w:r>
      <w:r>
        <w:rPr>
          <w:rtl/>
        </w:rPr>
        <w:t>(5) 441 (1993)</w:t>
      </w:r>
      <w:r>
        <w:rPr>
          <w:rFonts w:hint="cs"/>
          <w:rtl/>
        </w:rPr>
        <w:t xml:space="preserve"> (להלן: </w:t>
      </w:r>
      <w:r w:rsidRPr="006D7995">
        <w:rPr>
          <w:rFonts w:ascii="Century" w:hAnsi="Century" w:cs="Miriam" w:hint="cs"/>
          <w:b/>
          <w:spacing w:val="0"/>
          <w:szCs w:val="24"/>
          <w:rtl/>
        </w:rPr>
        <w:t>עניין פנחסי</w:t>
      </w:r>
      <w:r>
        <w:rPr>
          <w:rFonts w:hint="cs"/>
          <w:rtl/>
        </w:rPr>
        <w:t xml:space="preserve">); וראו גם: </w:t>
      </w:r>
      <w:r w:rsidRPr="00911553">
        <w:rPr>
          <w:rFonts w:hint="eastAsia"/>
          <w:rtl/>
        </w:rPr>
        <w:t>בג</w:t>
      </w:r>
      <w:r w:rsidRPr="00911553">
        <w:rPr>
          <w:rtl/>
        </w:rPr>
        <w:t>"</w:t>
      </w:r>
      <w:r w:rsidRPr="00911553">
        <w:rPr>
          <w:rFonts w:hint="eastAsia"/>
          <w:rtl/>
        </w:rPr>
        <w:t>ץ</w:t>
      </w:r>
      <w:r w:rsidRPr="00911553">
        <w:rPr>
          <w:rtl/>
        </w:rPr>
        <w:t xml:space="preserve"> 1993/03 </w:t>
      </w:r>
      <w:r w:rsidRPr="00911553">
        <w:rPr>
          <w:rFonts w:ascii="Century" w:hAnsi="Century" w:cs="Miriam" w:hint="eastAsia"/>
          <w:b/>
          <w:spacing w:val="0"/>
          <w:szCs w:val="24"/>
          <w:rtl/>
        </w:rPr>
        <w:t>התנועה</w:t>
      </w:r>
      <w:r w:rsidRPr="00911553">
        <w:rPr>
          <w:rFonts w:ascii="Century" w:hAnsi="Century" w:cs="Miriam"/>
          <w:b/>
          <w:spacing w:val="0"/>
          <w:szCs w:val="24"/>
          <w:rtl/>
        </w:rPr>
        <w:t xml:space="preserve"> </w:t>
      </w:r>
      <w:r w:rsidRPr="00911553">
        <w:rPr>
          <w:rFonts w:ascii="Century" w:hAnsi="Century" w:cs="Miriam" w:hint="eastAsia"/>
          <w:b/>
          <w:spacing w:val="0"/>
          <w:szCs w:val="24"/>
          <w:rtl/>
        </w:rPr>
        <w:t>למען</w:t>
      </w:r>
      <w:r w:rsidRPr="00911553">
        <w:rPr>
          <w:rFonts w:ascii="Century" w:hAnsi="Century" w:cs="Miriam"/>
          <w:b/>
          <w:spacing w:val="0"/>
          <w:szCs w:val="24"/>
          <w:rtl/>
        </w:rPr>
        <w:t xml:space="preserve"> </w:t>
      </w:r>
      <w:r w:rsidRPr="00911553">
        <w:rPr>
          <w:rFonts w:ascii="Century" w:hAnsi="Century" w:cs="Miriam" w:hint="eastAsia"/>
          <w:b/>
          <w:spacing w:val="0"/>
          <w:szCs w:val="24"/>
          <w:rtl/>
        </w:rPr>
        <w:t>איכות</w:t>
      </w:r>
      <w:r w:rsidRPr="00911553">
        <w:rPr>
          <w:rFonts w:ascii="Century" w:hAnsi="Century" w:cs="Miriam"/>
          <w:b/>
          <w:spacing w:val="0"/>
          <w:szCs w:val="24"/>
          <w:rtl/>
        </w:rPr>
        <w:t xml:space="preserve"> </w:t>
      </w:r>
      <w:r w:rsidRPr="00911553">
        <w:rPr>
          <w:rFonts w:ascii="Century" w:hAnsi="Century" w:cs="Miriam" w:hint="eastAsia"/>
          <w:b/>
          <w:spacing w:val="0"/>
          <w:szCs w:val="24"/>
          <w:rtl/>
        </w:rPr>
        <w:t>השלטון</w:t>
      </w:r>
      <w:r w:rsidRPr="00911553">
        <w:rPr>
          <w:rFonts w:ascii="Century" w:hAnsi="Century" w:cs="Miriam"/>
          <w:b/>
          <w:spacing w:val="0"/>
          <w:szCs w:val="24"/>
          <w:rtl/>
        </w:rPr>
        <w:t xml:space="preserve"> </w:t>
      </w:r>
      <w:r w:rsidRPr="00911553">
        <w:rPr>
          <w:rFonts w:ascii="Century" w:hAnsi="Century" w:cs="Miriam" w:hint="eastAsia"/>
          <w:b/>
          <w:spacing w:val="0"/>
          <w:szCs w:val="24"/>
          <w:rtl/>
        </w:rPr>
        <w:t>בישראל</w:t>
      </w:r>
      <w:r w:rsidRPr="00911553">
        <w:rPr>
          <w:rFonts w:ascii="Century" w:hAnsi="Century" w:cs="Miriam"/>
          <w:b/>
          <w:spacing w:val="0"/>
          <w:szCs w:val="24"/>
          <w:rtl/>
        </w:rPr>
        <w:t xml:space="preserve"> </w:t>
      </w:r>
      <w:r w:rsidRPr="00911553">
        <w:rPr>
          <w:rFonts w:ascii="Century" w:hAnsi="Century" w:cs="Miriam" w:hint="eastAsia"/>
          <w:b/>
          <w:spacing w:val="0"/>
          <w:szCs w:val="24"/>
          <w:rtl/>
        </w:rPr>
        <w:t>נ</w:t>
      </w:r>
      <w:r w:rsidRPr="00911553">
        <w:rPr>
          <w:rFonts w:ascii="Century" w:hAnsi="Century" w:cs="Miriam"/>
          <w:b/>
          <w:spacing w:val="0"/>
          <w:szCs w:val="24"/>
          <w:rtl/>
        </w:rPr>
        <w:t xml:space="preserve">' </w:t>
      </w:r>
      <w:r w:rsidRPr="00911553">
        <w:rPr>
          <w:rFonts w:ascii="Century" w:hAnsi="Century" w:cs="Miriam" w:hint="eastAsia"/>
          <w:b/>
          <w:spacing w:val="0"/>
          <w:szCs w:val="24"/>
          <w:rtl/>
        </w:rPr>
        <w:t>ראש</w:t>
      </w:r>
      <w:r w:rsidRPr="00911553">
        <w:rPr>
          <w:rFonts w:ascii="Century" w:hAnsi="Century" w:cs="Miriam"/>
          <w:b/>
          <w:spacing w:val="0"/>
          <w:szCs w:val="24"/>
          <w:rtl/>
        </w:rPr>
        <w:t>-</w:t>
      </w:r>
      <w:r w:rsidRPr="00911553">
        <w:rPr>
          <w:rFonts w:ascii="Century" w:hAnsi="Century" w:cs="Miriam" w:hint="eastAsia"/>
          <w:b/>
          <w:spacing w:val="0"/>
          <w:szCs w:val="24"/>
          <w:rtl/>
        </w:rPr>
        <w:t>הממשלה</w:t>
      </w:r>
      <w:r w:rsidRPr="00911553">
        <w:rPr>
          <w:rFonts w:ascii="Century" w:hAnsi="Century" w:cs="Miriam"/>
          <w:b/>
          <w:spacing w:val="0"/>
          <w:szCs w:val="24"/>
          <w:rtl/>
        </w:rPr>
        <w:t xml:space="preserve">, </w:t>
      </w:r>
      <w:r w:rsidRPr="00911553">
        <w:rPr>
          <w:rFonts w:ascii="Century" w:hAnsi="Century" w:cs="Miriam" w:hint="eastAsia"/>
          <w:b/>
          <w:spacing w:val="0"/>
          <w:szCs w:val="24"/>
          <w:rtl/>
        </w:rPr>
        <w:t>מר</w:t>
      </w:r>
      <w:r w:rsidRPr="00911553">
        <w:rPr>
          <w:rFonts w:ascii="Century" w:hAnsi="Century" w:cs="Miriam"/>
          <w:b/>
          <w:spacing w:val="0"/>
          <w:szCs w:val="24"/>
          <w:rtl/>
        </w:rPr>
        <w:t xml:space="preserve"> </w:t>
      </w:r>
      <w:r w:rsidRPr="00911553">
        <w:rPr>
          <w:rFonts w:ascii="Century" w:hAnsi="Century" w:cs="Miriam" w:hint="eastAsia"/>
          <w:b/>
          <w:spacing w:val="0"/>
          <w:szCs w:val="24"/>
          <w:rtl/>
        </w:rPr>
        <w:t>אריאל</w:t>
      </w:r>
      <w:r w:rsidRPr="00911553">
        <w:rPr>
          <w:rFonts w:ascii="Century" w:hAnsi="Century" w:cs="Miriam"/>
          <w:b/>
          <w:spacing w:val="0"/>
          <w:szCs w:val="24"/>
          <w:rtl/>
        </w:rPr>
        <w:t xml:space="preserve"> </w:t>
      </w:r>
      <w:r w:rsidRPr="00911553">
        <w:rPr>
          <w:rFonts w:ascii="Century" w:hAnsi="Century" w:cs="Miriam" w:hint="eastAsia"/>
          <w:b/>
          <w:spacing w:val="0"/>
          <w:szCs w:val="24"/>
          <w:rtl/>
        </w:rPr>
        <w:t>שרון</w:t>
      </w:r>
      <w:r w:rsidRPr="00911553">
        <w:rPr>
          <w:rtl/>
        </w:rPr>
        <w:t xml:space="preserve">, </w:t>
      </w:r>
      <w:r w:rsidRPr="00911553">
        <w:rPr>
          <w:rFonts w:hint="eastAsia"/>
          <w:rtl/>
        </w:rPr>
        <w:t>פ</w:t>
      </w:r>
      <w:r w:rsidRPr="00911553">
        <w:rPr>
          <w:rtl/>
        </w:rPr>
        <w:t>"</w:t>
      </w:r>
      <w:r w:rsidRPr="00911553">
        <w:rPr>
          <w:rFonts w:hint="eastAsia"/>
          <w:rtl/>
        </w:rPr>
        <w:t>ד</w:t>
      </w:r>
      <w:r w:rsidRPr="00911553">
        <w:rPr>
          <w:rtl/>
        </w:rPr>
        <w:t xml:space="preserve"> </w:t>
      </w:r>
      <w:r w:rsidRPr="00911553">
        <w:rPr>
          <w:rFonts w:hint="eastAsia"/>
          <w:rtl/>
        </w:rPr>
        <w:t>נז</w:t>
      </w:r>
      <w:r w:rsidRPr="00911553">
        <w:rPr>
          <w:rtl/>
        </w:rPr>
        <w:t>(6) 817 (2003)</w:t>
      </w:r>
      <w:r>
        <w:rPr>
          <w:rFonts w:hint="cs"/>
          <w:rtl/>
        </w:rPr>
        <w:t>). ביסוד הלכה זו ניצב הצורך בהגנה על אמון הציבור ברשויות השלטון:</w:t>
      </w:r>
    </w:p>
    <w:p w:rsidR="00BA3662" w:rsidRDefault="00BA3662" w:rsidP="00BA3662">
      <w:pPr>
        <w:pStyle w:val="Ruller40"/>
        <w:spacing w:line="240" w:lineRule="auto"/>
        <w:rPr>
          <w:rtl/>
        </w:rPr>
      </w:pPr>
    </w:p>
    <w:p w:rsidR="00BA3662" w:rsidRDefault="00BA3662" w:rsidP="00BA3662">
      <w:pPr>
        <w:pStyle w:val="Ruller5"/>
        <w:rPr>
          <w:rtl/>
        </w:rPr>
      </w:pPr>
      <w:r>
        <w:rPr>
          <w:rFonts w:hint="cs"/>
          <w:rtl/>
        </w:rPr>
        <w:t>"</w:t>
      </w:r>
      <w:r w:rsidRPr="00357CCB">
        <w:rPr>
          <w:rFonts w:hint="eastAsia"/>
          <w:rtl/>
        </w:rPr>
        <w:t>מי</w:t>
      </w:r>
      <w:r w:rsidRPr="00357CCB">
        <w:rPr>
          <w:rtl/>
        </w:rPr>
        <w:t xml:space="preserve"> </w:t>
      </w:r>
      <w:r w:rsidRPr="00357CCB">
        <w:rPr>
          <w:rFonts w:hint="eastAsia"/>
          <w:rtl/>
        </w:rPr>
        <w:t>שנבחר</w:t>
      </w:r>
      <w:r w:rsidRPr="00357CCB">
        <w:rPr>
          <w:rtl/>
        </w:rPr>
        <w:t xml:space="preserve"> </w:t>
      </w:r>
      <w:r w:rsidRPr="00357CCB">
        <w:rPr>
          <w:rFonts w:hint="eastAsia"/>
          <w:rtl/>
        </w:rPr>
        <w:t>על</w:t>
      </w:r>
      <w:r w:rsidRPr="00357CCB">
        <w:rPr>
          <w:rtl/>
        </w:rPr>
        <w:t>-</w:t>
      </w:r>
      <w:r w:rsidRPr="00357CCB">
        <w:rPr>
          <w:rFonts w:hint="eastAsia"/>
          <w:rtl/>
        </w:rPr>
        <w:t>ידי</w:t>
      </w:r>
      <w:r w:rsidRPr="00357CCB">
        <w:rPr>
          <w:rtl/>
        </w:rPr>
        <w:t xml:space="preserve"> </w:t>
      </w:r>
      <w:r w:rsidRPr="00357CCB">
        <w:rPr>
          <w:rFonts w:hint="eastAsia"/>
          <w:rtl/>
        </w:rPr>
        <w:t>העם</w:t>
      </w:r>
      <w:r w:rsidRPr="00357CCB">
        <w:rPr>
          <w:rtl/>
        </w:rPr>
        <w:t xml:space="preserve"> </w:t>
      </w:r>
      <w:r w:rsidRPr="00357CCB">
        <w:rPr>
          <w:rFonts w:hint="eastAsia"/>
          <w:rtl/>
        </w:rPr>
        <w:t>צריך</w:t>
      </w:r>
      <w:r w:rsidRPr="00357CCB">
        <w:rPr>
          <w:rtl/>
        </w:rPr>
        <w:t xml:space="preserve"> </w:t>
      </w:r>
      <w:r w:rsidRPr="00357CCB">
        <w:rPr>
          <w:rFonts w:hint="eastAsia"/>
          <w:rtl/>
        </w:rPr>
        <w:t>לשמש</w:t>
      </w:r>
      <w:r w:rsidRPr="00357CCB">
        <w:rPr>
          <w:rtl/>
        </w:rPr>
        <w:t xml:space="preserve"> </w:t>
      </w:r>
      <w:r w:rsidRPr="00357CCB">
        <w:rPr>
          <w:rFonts w:hint="eastAsia"/>
          <w:rtl/>
        </w:rPr>
        <w:t>מופת</w:t>
      </w:r>
      <w:r w:rsidRPr="00357CCB">
        <w:rPr>
          <w:rtl/>
        </w:rPr>
        <w:t xml:space="preserve"> </w:t>
      </w:r>
      <w:r w:rsidRPr="00357CCB">
        <w:rPr>
          <w:rFonts w:hint="eastAsia"/>
          <w:rtl/>
        </w:rPr>
        <w:t>לעם</w:t>
      </w:r>
      <w:r w:rsidRPr="00357CCB">
        <w:rPr>
          <w:rtl/>
        </w:rPr>
        <w:t xml:space="preserve">, </w:t>
      </w:r>
      <w:r w:rsidRPr="00357CCB">
        <w:rPr>
          <w:rFonts w:hint="eastAsia"/>
          <w:rtl/>
        </w:rPr>
        <w:t>נאמן</w:t>
      </w:r>
      <w:r w:rsidRPr="00357CCB">
        <w:rPr>
          <w:rtl/>
        </w:rPr>
        <w:t xml:space="preserve"> </w:t>
      </w:r>
      <w:r w:rsidRPr="00357CCB">
        <w:rPr>
          <w:rFonts w:hint="eastAsia"/>
          <w:rtl/>
        </w:rPr>
        <w:t>לעם</w:t>
      </w:r>
      <w:r w:rsidRPr="00357CCB">
        <w:rPr>
          <w:rtl/>
        </w:rPr>
        <w:t xml:space="preserve"> </w:t>
      </w:r>
      <w:r w:rsidRPr="00357CCB">
        <w:rPr>
          <w:rFonts w:hint="eastAsia"/>
          <w:rtl/>
        </w:rPr>
        <w:t>וראוי</w:t>
      </w:r>
      <w:r w:rsidRPr="00357CCB">
        <w:rPr>
          <w:rtl/>
        </w:rPr>
        <w:t xml:space="preserve"> </w:t>
      </w:r>
      <w:r w:rsidRPr="00357CCB">
        <w:rPr>
          <w:rFonts w:hint="eastAsia"/>
          <w:rtl/>
        </w:rPr>
        <w:t>לאמון</w:t>
      </w:r>
      <w:r w:rsidRPr="00357CCB">
        <w:rPr>
          <w:rtl/>
        </w:rPr>
        <w:t xml:space="preserve"> </w:t>
      </w:r>
      <w:r w:rsidRPr="00357CCB">
        <w:rPr>
          <w:rFonts w:hint="eastAsia"/>
          <w:rtl/>
        </w:rPr>
        <w:t>שהעם</w:t>
      </w:r>
      <w:r w:rsidRPr="00357CCB">
        <w:rPr>
          <w:rtl/>
        </w:rPr>
        <w:t xml:space="preserve"> </w:t>
      </w:r>
      <w:r w:rsidRPr="00357CCB">
        <w:rPr>
          <w:rFonts w:hint="eastAsia"/>
          <w:rtl/>
        </w:rPr>
        <w:t>נתן</w:t>
      </w:r>
      <w:r w:rsidRPr="00357CCB">
        <w:rPr>
          <w:rtl/>
        </w:rPr>
        <w:t xml:space="preserve"> </w:t>
      </w:r>
      <w:r w:rsidRPr="00357CCB">
        <w:rPr>
          <w:rFonts w:hint="eastAsia"/>
          <w:rtl/>
        </w:rPr>
        <w:t>בו</w:t>
      </w:r>
      <w:r w:rsidRPr="00357CCB">
        <w:rPr>
          <w:rtl/>
        </w:rPr>
        <w:t xml:space="preserve">. </w:t>
      </w:r>
      <w:r w:rsidRPr="00357CCB">
        <w:rPr>
          <w:rFonts w:hint="eastAsia"/>
          <w:rtl/>
        </w:rPr>
        <w:t>על</w:t>
      </w:r>
      <w:r w:rsidRPr="00357CCB">
        <w:rPr>
          <w:rtl/>
        </w:rPr>
        <w:t xml:space="preserve"> </w:t>
      </w:r>
      <w:r w:rsidRPr="00357CCB">
        <w:rPr>
          <w:rFonts w:hint="eastAsia"/>
          <w:rtl/>
        </w:rPr>
        <w:t>כן</w:t>
      </w:r>
      <w:r w:rsidRPr="00357CCB">
        <w:rPr>
          <w:rtl/>
        </w:rPr>
        <w:t xml:space="preserve">, </w:t>
      </w:r>
      <w:r w:rsidRPr="00357CCB">
        <w:rPr>
          <w:rFonts w:hint="eastAsia"/>
          <w:rtl/>
        </w:rPr>
        <w:t>כאשר</w:t>
      </w:r>
      <w:r w:rsidRPr="00357CCB">
        <w:rPr>
          <w:rtl/>
        </w:rPr>
        <w:t xml:space="preserve"> </w:t>
      </w:r>
      <w:r w:rsidRPr="00357CCB">
        <w:rPr>
          <w:rFonts w:hint="eastAsia"/>
          <w:rtl/>
        </w:rPr>
        <w:t>נתונה</w:t>
      </w:r>
      <w:r w:rsidRPr="00357CCB">
        <w:rPr>
          <w:rtl/>
        </w:rPr>
        <w:t xml:space="preserve"> </w:t>
      </w:r>
      <w:r w:rsidRPr="00357CCB">
        <w:rPr>
          <w:rFonts w:hint="eastAsia"/>
          <w:rtl/>
        </w:rPr>
        <w:t>לרשות</w:t>
      </w:r>
      <w:r w:rsidRPr="00357CCB">
        <w:rPr>
          <w:rtl/>
        </w:rPr>
        <w:t xml:space="preserve"> </w:t>
      </w:r>
      <w:r w:rsidRPr="00357CCB">
        <w:rPr>
          <w:rFonts w:hint="eastAsia"/>
          <w:rtl/>
        </w:rPr>
        <w:t>שלטונית</w:t>
      </w:r>
      <w:r w:rsidRPr="00357CCB">
        <w:rPr>
          <w:rtl/>
        </w:rPr>
        <w:t xml:space="preserve"> </w:t>
      </w:r>
      <w:r w:rsidRPr="00357CCB">
        <w:rPr>
          <w:rFonts w:hint="eastAsia"/>
          <w:rtl/>
        </w:rPr>
        <w:t>סמכות</w:t>
      </w:r>
      <w:r w:rsidRPr="00357CCB">
        <w:rPr>
          <w:rtl/>
        </w:rPr>
        <w:t xml:space="preserve"> </w:t>
      </w:r>
      <w:r w:rsidRPr="00357CCB">
        <w:rPr>
          <w:rFonts w:hint="eastAsia"/>
          <w:rtl/>
        </w:rPr>
        <w:t>הפסקת</w:t>
      </w:r>
      <w:r w:rsidRPr="00357CCB">
        <w:rPr>
          <w:rtl/>
        </w:rPr>
        <w:t xml:space="preserve"> </w:t>
      </w:r>
      <w:r w:rsidRPr="00357CCB">
        <w:rPr>
          <w:rFonts w:hint="eastAsia"/>
          <w:rtl/>
        </w:rPr>
        <w:t>כהונה</w:t>
      </w:r>
      <w:r w:rsidRPr="00357CCB">
        <w:rPr>
          <w:rtl/>
        </w:rPr>
        <w:t xml:space="preserve">, </w:t>
      </w:r>
      <w:r w:rsidRPr="00357CCB">
        <w:rPr>
          <w:rFonts w:hint="eastAsia"/>
          <w:rtl/>
        </w:rPr>
        <w:t>עליה</w:t>
      </w:r>
      <w:r w:rsidRPr="00357CCB">
        <w:rPr>
          <w:rtl/>
        </w:rPr>
        <w:t xml:space="preserve"> </w:t>
      </w:r>
      <w:r w:rsidRPr="00357CCB">
        <w:rPr>
          <w:rFonts w:hint="eastAsia"/>
          <w:rtl/>
        </w:rPr>
        <w:t>לעשות</w:t>
      </w:r>
      <w:r w:rsidRPr="00357CCB">
        <w:rPr>
          <w:rtl/>
        </w:rPr>
        <w:t xml:space="preserve"> </w:t>
      </w:r>
      <w:r w:rsidRPr="00357CCB">
        <w:rPr>
          <w:rFonts w:hint="eastAsia"/>
          <w:rtl/>
        </w:rPr>
        <w:t>בה</w:t>
      </w:r>
      <w:r w:rsidRPr="00357CCB">
        <w:rPr>
          <w:rtl/>
        </w:rPr>
        <w:t xml:space="preserve"> </w:t>
      </w:r>
      <w:r w:rsidRPr="00357CCB">
        <w:rPr>
          <w:rFonts w:hint="eastAsia"/>
          <w:rtl/>
        </w:rPr>
        <w:t>שימוש</w:t>
      </w:r>
      <w:r w:rsidRPr="00357CCB">
        <w:rPr>
          <w:rtl/>
        </w:rPr>
        <w:t xml:space="preserve"> </w:t>
      </w:r>
      <w:r w:rsidRPr="00357CCB">
        <w:rPr>
          <w:rFonts w:hint="eastAsia"/>
          <w:rtl/>
        </w:rPr>
        <w:t>כאשר</w:t>
      </w:r>
      <w:r w:rsidRPr="00357CCB">
        <w:rPr>
          <w:rtl/>
        </w:rPr>
        <w:t xml:space="preserve"> </w:t>
      </w:r>
      <w:r w:rsidRPr="00357CCB">
        <w:rPr>
          <w:rFonts w:hint="eastAsia"/>
          <w:rtl/>
        </w:rPr>
        <w:t>בעל</w:t>
      </w:r>
      <w:r w:rsidRPr="00357CCB">
        <w:rPr>
          <w:rtl/>
        </w:rPr>
        <w:t xml:space="preserve"> </w:t>
      </w:r>
      <w:r w:rsidRPr="00357CCB">
        <w:rPr>
          <w:rFonts w:hint="eastAsia"/>
          <w:rtl/>
        </w:rPr>
        <w:t>הכהונה</w:t>
      </w:r>
      <w:r w:rsidRPr="00357CCB">
        <w:rPr>
          <w:rtl/>
        </w:rPr>
        <w:t xml:space="preserve"> </w:t>
      </w:r>
      <w:r w:rsidRPr="00357CCB">
        <w:rPr>
          <w:rFonts w:hint="eastAsia"/>
          <w:rtl/>
        </w:rPr>
        <w:t>פוגע</w:t>
      </w:r>
      <w:r w:rsidRPr="00357CCB">
        <w:rPr>
          <w:rtl/>
        </w:rPr>
        <w:t xml:space="preserve"> </w:t>
      </w:r>
      <w:r w:rsidRPr="00357CCB">
        <w:rPr>
          <w:rFonts w:hint="eastAsia"/>
          <w:rtl/>
        </w:rPr>
        <w:t>באמון</w:t>
      </w:r>
      <w:r w:rsidRPr="00357CCB">
        <w:rPr>
          <w:rtl/>
        </w:rPr>
        <w:t xml:space="preserve"> </w:t>
      </w:r>
      <w:r w:rsidRPr="00357CCB">
        <w:rPr>
          <w:rFonts w:hint="eastAsia"/>
          <w:rtl/>
        </w:rPr>
        <w:t>הציבור</w:t>
      </w:r>
      <w:r w:rsidRPr="00357CCB">
        <w:rPr>
          <w:rtl/>
        </w:rPr>
        <w:t xml:space="preserve"> </w:t>
      </w:r>
      <w:r w:rsidRPr="00357CCB">
        <w:rPr>
          <w:rFonts w:hint="eastAsia"/>
          <w:rtl/>
        </w:rPr>
        <w:t>בשלטון</w:t>
      </w:r>
      <w:r w:rsidRPr="00357CCB">
        <w:rPr>
          <w:rtl/>
        </w:rPr>
        <w:t xml:space="preserve">, </w:t>
      </w:r>
      <w:r w:rsidRPr="00357CCB">
        <w:rPr>
          <w:rFonts w:hint="eastAsia"/>
          <w:rtl/>
        </w:rPr>
        <w:t>בין</w:t>
      </w:r>
      <w:r w:rsidRPr="00357CCB">
        <w:rPr>
          <w:rtl/>
        </w:rPr>
        <w:t xml:space="preserve"> </w:t>
      </w:r>
      <w:r w:rsidRPr="00357CCB">
        <w:rPr>
          <w:rFonts w:hint="eastAsia"/>
          <w:rtl/>
        </w:rPr>
        <w:t>אם</w:t>
      </w:r>
      <w:r w:rsidRPr="00357CCB">
        <w:rPr>
          <w:rtl/>
        </w:rPr>
        <w:t xml:space="preserve"> </w:t>
      </w:r>
      <w:r w:rsidRPr="00357CCB">
        <w:rPr>
          <w:rFonts w:hint="eastAsia"/>
          <w:rtl/>
        </w:rPr>
        <w:t>בעל</w:t>
      </w:r>
      <w:r w:rsidRPr="00357CCB">
        <w:rPr>
          <w:rtl/>
        </w:rPr>
        <w:t xml:space="preserve"> </w:t>
      </w:r>
      <w:r w:rsidRPr="00357CCB">
        <w:rPr>
          <w:rFonts w:hint="eastAsia"/>
          <w:rtl/>
        </w:rPr>
        <w:t>הכהונה</w:t>
      </w:r>
      <w:r w:rsidRPr="00357CCB">
        <w:rPr>
          <w:rtl/>
        </w:rPr>
        <w:t xml:space="preserve"> </w:t>
      </w:r>
      <w:r w:rsidRPr="00357CCB">
        <w:rPr>
          <w:rFonts w:hint="eastAsia"/>
          <w:rtl/>
        </w:rPr>
        <w:t>הוא</w:t>
      </w:r>
      <w:r w:rsidRPr="00357CCB">
        <w:rPr>
          <w:rtl/>
        </w:rPr>
        <w:t xml:space="preserve"> </w:t>
      </w:r>
      <w:r w:rsidRPr="00357CCB">
        <w:rPr>
          <w:rFonts w:hint="eastAsia"/>
          <w:rtl/>
        </w:rPr>
        <w:t>נבחר</w:t>
      </w:r>
      <w:r w:rsidRPr="00357CCB">
        <w:rPr>
          <w:rtl/>
        </w:rPr>
        <w:t xml:space="preserve"> (</w:t>
      </w:r>
      <w:r w:rsidRPr="00357CCB">
        <w:rPr>
          <w:rFonts w:hint="eastAsia"/>
          <w:rtl/>
        </w:rPr>
        <w:t>כגון</w:t>
      </w:r>
      <w:r w:rsidRPr="00357CCB">
        <w:rPr>
          <w:rtl/>
        </w:rPr>
        <w:t xml:space="preserve"> </w:t>
      </w:r>
      <w:r w:rsidRPr="00357CCB">
        <w:rPr>
          <w:rFonts w:hint="eastAsia"/>
          <w:rtl/>
        </w:rPr>
        <w:t>חבר</w:t>
      </w:r>
      <w:r w:rsidRPr="00357CCB">
        <w:rPr>
          <w:rtl/>
        </w:rPr>
        <w:t xml:space="preserve"> </w:t>
      </w:r>
      <w:r w:rsidRPr="00357CCB">
        <w:rPr>
          <w:rFonts w:hint="eastAsia"/>
          <w:rtl/>
        </w:rPr>
        <w:t>כנסת</w:t>
      </w:r>
      <w:r w:rsidRPr="00357CCB">
        <w:rPr>
          <w:rtl/>
        </w:rPr>
        <w:t xml:space="preserve"> </w:t>
      </w:r>
      <w:r w:rsidRPr="00357CCB">
        <w:rPr>
          <w:rFonts w:hint="eastAsia"/>
          <w:rtl/>
        </w:rPr>
        <w:t>המכהן</w:t>
      </w:r>
      <w:r w:rsidRPr="00357CCB">
        <w:rPr>
          <w:rtl/>
        </w:rPr>
        <w:t xml:space="preserve"> </w:t>
      </w:r>
      <w:r w:rsidRPr="00357CCB">
        <w:rPr>
          <w:rFonts w:hint="eastAsia"/>
          <w:rtl/>
        </w:rPr>
        <w:t>כסגן</w:t>
      </w:r>
      <w:r w:rsidRPr="00357CCB">
        <w:rPr>
          <w:rtl/>
        </w:rPr>
        <w:t xml:space="preserve"> </w:t>
      </w:r>
      <w:r w:rsidRPr="00357CCB">
        <w:rPr>
          <w:rFonts w:hint="eastAsia"/>
          <w:rtl/>
        </w:rPr>
        <w:t>שר</w:t>
      </w:r>
      <w:r w:rsidRPr="00357CCB">
        <w:rPr>
          <w:rtl/>
        </w:rPr>
        <w:t xml:space="preserve">) </w:t>
      </w:r>
      <w:r w:rsidRPr="00357CCB">
        <w:rPr>
          <w:rFonts w:hint="eastAsia"/>
          <w:rtl/>
        </w:rPr>
        <w:t>ובין</w:t>
      </w:r>
      <w:r w:rsidRPr="00357CCB">
        <w:rPr>
          <w:rtl/>
        </w:rPr>
        <w:t xml:space="preserve"> </w:t>
      </w:r>
      <w:r w:rsidRPr="00357CCB">
        <w:rPr>
          <w:rFonts w:hint="eastAsia"/>
          <w:rtl/>
        </w:rPr>
        <w:t>אם</w:t>
      </w:r>
      <w:r w:rsidRPr="00357CCB">
        <w:rPr>
          <w:rtl/>
        </w:rPr>
        <w:t xml:space="preserve"> </w:t>
      </w:r>
      <w:r w:rsidRPr="00357CCB">
        <w:rPr>
          <w:rFonts w:hint="eastAsia"/>
          <w:rtl/>
        </w:rPr>
        <w:t>הוא</w:t>
      </w:r>
      <w:r w:rsidRPr="00357CCB">
        <w:rPr>
          <w:rtl/>
        </w:rPr>
        <w:t xml:space="preserve"> </w:t>
      </w:r>
      <w:r w:rsidRPr="00357CCB">
        <w:rPr>
          <w:rFonts w:hint="eastAsia"/>
          <w:rtl/>
        </w:rPr>
        <w:t>עובד</w:t>
      </w:r>
      <w:r w:rsidRPr="00357CCB">
        <w:rPr>
          <w:rtl/>
        </w:rPr>
        <w:t xml:space="preserve"> </w:t>
      </w:r>
      <w:r w:rsidRPr="00357CCB">
        <w:rPr>
          <w:rFonts w:hint="eastAsia"/>
          <w:rtl/>
        </w:rPr>
        <w:t>ציבור</w:t>
      </w:r>
      <w:r w:rsidRPr="00357CCB">
        <w:rPr>
          <w:rtl/>
        </w:rPr>
        <w:t xml:space="preserve"> (</w:t>
      </w:r>
      <w:r w:rsidRPr="00357CCB">
        <w:rPr>
          <w:rFonts w:hint="eastAsia"/>
          <w:rtl/>
        </w:rPr>
        <w:t>כגון</w:t>
      </w:r>
      <w:r w:rsidRPr="00357CCB">
        <w:rPr>
          <w:rtl/>
        </w:rPr>
        <w:t xml:space="preserve"> </w:t>
      </w:r>
      <w:r w:rsidRPr="00357CCB">
        <w:rPr>
          <w:rFonts w:hint="eastAsia"/>
          <w:rtl/>
        </w:rPr>
        <w:t>עובד</w:t>
      </w:r>
      <w:r w:rsidRPr="00357CCB">
        <w:rPr>
          <w:rtl/>
        </w:rPr>
        <w:t xml:space="preserve"> </w:t>
      </w:r>
      <w:r w:rsidRPr="00357CCB">
        <w:rPr>
          <w:rFonts w:hint="eastAsia"/>
          <w:rtl/>
        </w:rPr>
        <w:t>מדינה</w:t>
      </w:r>
      <w:r w:rsidRPr="00357CCB">
        <w:rPr>
          <w:rtl/>
        </w:rPr>
        <w:t xml:space="preserve"> </w:t>
      </w:r>
      <w:r w:rsidRPr="00357CCB">
        <w:rPr>
          <w:rFonts w:hint="eastAsia"/>
          <w:rtl/>
        </w:rPr>
        <w:t>ששר</w:t>
      </w:r>
      <w:r w:rsidRPr="00357CCB">
        <w:rPr>
          <w:rtl/>
        </w:rPr>
        <w:t xml:space="preserve"> </w:t>
      </w:r>
      <w:r w:rsidRPr="00357CCB">
        <w:rPr>
          <w:rFonts w:hint="eastAsia"/>
          <w:rtl/>
        </w:rPr>
        <w:t>מוסמך</w:t>
      </w:r>
      <w:r w:rsidRPr="00357CCB">
        <w:rPr>
          <w:rtl/>
        </w:rPr>
        <w:t xml:space="preserve"> </w:t>
      </w:r>
      <w:r w:rsidRPr="00357CCB">
        <w:rPr>
          <w:rFonts w:hint="eastAsia"/>
          <w:rtl/>
        </w:rPr>
        <w:t>לפטרו</w:t>
      </w:r>
      <w:r>
        <w:rPr>
          <w:rtl/>
        </w:rPr>
        <w:t>)</w:t>
      </w:r>
      <w:r w:rsidRPr="00DB6719">
        <w:rPr>
          <w:rtl/>
        </w:rPr>
        <w:t>.</w:t>
      </w:r>
      <w:r>
        <w:rPr>
          <w:rFonts w:hint="cs"/>
          <w:rtl/>
        </w:rPr>
        <w:t xml:space="preserve">" (דברי הנשיא </w:t>
      </w:r>
      <w:r w:rsidRPr="00674136">
        <w:rPr>
          <w:rFonts w:ascii="Century" w:hAnsi="Century" w:cs="Miriam" w:hint="cs"/>
          <w:b/>
          <w:spacing w:val="0"/>
          <w:szCs w:val="24"/>
          <w:rtl/>
        </w:rPr>
        <w:t>א' ברק</w:t>
      </w:r>
      <w:r>
        <w:rPr>
          <w:rFonts w:hint="cs"/>
          <w:rtl/>
        </w:rPr>
        <w:t xml:space="preserve"> עניין </w:t>
      </w:r>
      <w:r w:rsidRPr="006D5045">
        <w:rPr>
          <w:rFonts w:ascii="Century" w:hAnsi="Century" w:cs="Miriam" w:hint="cs"/>
          <w:b/>
          <w:spacing w:val="0"/>
          <w:szCs w:val="24"/>
          <w:rtl/>
        </w:rPr>
        <w:t>פנחסי</w:t>
      </w:r>
      <w:r>
        <w:rPr>
          <w:rFonts w:hint="cs"/>
          <w:rtl/>
        </w:rPr>
        <w:t>, עמ' 473).</w:t>
      </w:r>
    </w:p>
    <w:p w:rsidR="00BA3662" w:rsidRDefault="00BA3662" w:rsidP="00BA3662">
      <w:pPr>
        <w:pStyle w:val="Ruller40"/>
        <w:spacing w:line="240" w:lineRule="auto"/>
        <w:rPr>
          <w:rtl/>
        </w:rPr>
      </w:pPr>
      <w:r>
        <w:rPr>
          <w:rFonts w:hint="cs"/>
          <w:rtl/>
        </w:rPr>
        <w:t xml:space="preserve"> </w:t>
      </w:r>
    </w:p>
    <w:p w:rsidR="00BA3662" w:rsidRDefault="00BA3662" w:rsidP="00BA3662">
      <w:pPr>
        <w:pStyle w:val="Ruller40"/>
        <w:rPr>
          <w:rtl/>
        </w:rPr>
      </w:pPr>
      <w:r>
        <w:rPr>
          <w:rFonts w:hint="cs"/>
          <w:rtl/>
        </w:rPr>
        <w:tab/>
        <w:t xml:space="preserve">כפי שהעמיקה השופטת </w:t>
      </w:r>
      <w:r w:rsidRPr="006D7995">
        <w:rPr>
          <w:rFonts w:ascii="Century" w:hAnsi="Century" w:cs="Miriam" w:hint="cs"/>
          <w:b/>
          <w:spacing w:val="0"/>
          <w:szCs w:val="24"/>
          <w:rtl/>
        </w:rPr>
        <w:t>ד' ברק-ארז</w:t>
      </w:r>
      <w:r w:rsidRPr="006D7995">
        <w:rPr>
          <w:rFonts w:hint="cs"/>
          <w:rtl/>
        </w:rPr>
        <w:t xml:space="preserve"> </w:t>
      </w:r>
      <w:r>
        <w:rPr>
          <w:rFonts w:hint="cs"/>
          <w:rtl/>
        </w:rPr>
        <w:t xml:space="preserve">בחוות דעתה, עקרונות יסוד אלה שרירים ותקפים לא רק כשמדובר במינוי שר או סגן שר לתפקיד בממשלה </w:t>
      </w:r>
      <w:r>
        <w:rPr>
          <w:rtl/>
        </w:rPr>
        <w:t>–</w:t>
      </w:r>
      <w:r>
        <w:rPr>
          <w:rFonts w:hint="cs"/>
          <w:rtl/>
        </w:rPr>
        <w:t xml:space="preserve"> אלא אף כשעל הפרק עומדת כהונתו של ראש הממשלה עצמו. הדבר מתבקש מקל וחומר, בהיותו של ראש הממשלה "ראשון בין שווים" ביחס לשאר השרים, וכמי שעומד בראשם של משרתי הציבור מבכיר ועד זוטר. אם בארזים נפלה שלהבת, מה יגידו אזובי הקיר? ובכל זאת, לא ניתן להחיל את הלכת </w:t>
      </w:r>
      <w:r w:rsidRPr="003F5F2B">
        <w:rPr>
          <w:rFonts w:ascii="Century" w:hAnsi="Century" w:cs="Miriam" w:hint="cs"/>
          <w:b/>
          <w:spacing w:val="0"/>
          <w:szCs w:val="24"/>
          <w:rtl/>
        </w:rPr>
        <w:t>דרעי-פנחסי</w:t>
      </w:r>
      <w:r w:rsidRPr="003F5F2B">
        <w:rPr>
          <w:rFonts w:hint="cs"/>
          <w:rtl/>
        </w:rPr>
        <w:t xml:space="preserve"> </w:t>
      </w:r>
      <w:r>
        <w:rPr>
          <w:rFonts w:hint="cs"/>
          <w:rtl/>
        </w:rPr>
        <w:t>כמות שהיא על מינויו של חבר כנסת לתפקיד ראש הממשלה; ואבאר.</w:t>
      </w:r>
    </w:p>
    <w:p w:rsidR="00BA3662" w:rsidRDefault="00BA3662" w:rsidP="00BA3662">
      <w:pPr>
        <w:pStyle w:val="Ruller40"/>
        <w:rPr>
          <w:rtl/>
        </w:rPr>
      </w:pPr>
    </w:p>
    <w:p w:rsidR="00BA3662" w:rsidRDefault="00BA3662" w:rsidP="00BA3662">
      <w:pPr>
        <w:pStyle w:val="Ruller40"/>
        <w:rPr>
          <w:rtl/>
        </w:rPr>
      </w:pPr>
      <w:r>
        <w:rPr>
          <w:rFonts w:hint="cs"/>
          <w:rtl/>
        </w:rPr>
        <w:t>5.</w:t>
      </w:r>
      <w:r>
        <w:rPr>
          <w:rFonts w:hint="cs"/>
          <w:rtl/>
        </w:rPr>
        <w:tab/>
        <w:t xml:space="preserve">בכל הנוגע למינוי שר </w:t>
      </w:r>
      <w:r>
        <w:rPr>
          <w:rtl/>
        </w:rPr>
        <w:t>–</w:t>
      </w:r>
      <w:r>
        <w:rPr>
          <w:rFonts w:hint="cs"/>
          <w:rtl/>
        </w:rPr>
        <w:t xml:space="preserve"> ראש הממשלה הוא הגורם הממנה. החלטה בדבר מינויו של שר היא החלטת רשות מינהלית, הגם שהיא כרוכה בשיקולים פוליטיים, וככזו היא כפופה לכללי המשפט המינהלי ובראשם מבחן הסבירות; ומכאן נגזר היקף הביקורת השיפוטית על החלטה זו. אשר למינוי ראש ממשלה </w:t>
      </w:r>
      <w:r>
        <w:rPr>
          <w:rtl/>
        </w:rPr>
        <w:t>–</w:t>
      </w:r>
      <w:r>
        <w:rPr>
          <w:rFonts w:hint="cs"/>
          <w:rtl/>
        </w:rPr>
        <w:t xml:space="preserve"> ראש הממשלה הוא אמנם שר מבין שרי הממשלה (סעיף 5(א) לחוק-יסוד: הממשלה), ואולם מינויו שונה בתכלית ממינוי שר. זאת הן מבחינת זהותו של הגורם הממנה, הן מבחינת מהותה של החלטת המינוי, ומשכך גם מבחינת היקף הביקורת השיפוטית שיש להחיל על החלטת המינוי.</w:t>
      </w:r>
    </w:p>
    <w:p w:rsidR="00BA3662" w:rsidRDefault="00BA3662" w:rsidP="00BA3662">
      <w:pPr>
        <w:pStyle w:val="Ruller40"/>
        <w:rPr>
          <w:rtl/>
        </w:rPr>
      </w:pPr>
      <w:r>
        <w:rPr>
          <w:rFonts w:hint="cs"/>
          <w:rtl/>
        </w:rPr>
        <w:t xml:space="preserve"> </w:t>
      </w:r>
    </w:p>
    <w:p w:rsidR="00BA3662" w:rsidRDefault="00BA3662" w:rsidP="00BA3662">
      <w:pPr>
        <w:pStyle w:val="Ruller40"/>
        <w:rPr>
          <w:rtl/>
        </w:rPr>
      </w:pPr>
      <w:r>
        <w:rPr>
          <w:rFonts w:hint="cs"/>
          <w:rtl/>
        </w:rPr>
        <w:tab/>
        <w:t xml:space="preserve">ראשיתו ואחריתו של מינוי ראש הממשלה הוא </w:t>
      </w:r>
      <w:r w:rsidRPr="00F5059D">
        <w:rPr>
          <w:rFonts w:ascii="Century" w:hAnsi="Century" w:cs="Miriam" w:hint="cs"/>
          <w:b/>
          <w:spacing w:val="0"/>
          <w:szCs w:val="24"/>
          <w:rtl/>
        </w:rPr>
        <w:t>בהחלטת הבוחר</w:t>
      </w:r>
      <w:r w:rsidRPr="00F5059D">
        <w:rPr>
          <w:rFonts w:hint="cs"/>
          <w:rtl/>
        </w:rPr>
        <w:t xml:space="preserve"> </w:t>
      </w:r>
      <w:r>
        <w:rPr>
          <w:rFonts w:hint="cs"/>
          <w:rtl/>
        </w:rPr>
        <w:t>המשלשל פתק לקלפי.</w:t>
      </w:r>
      <w:r w:rsidRPr="00BF2A48">
        <w:rPr>
          <w:rFonts w:hint="cs"/>
          <w:rtl/>
        </w:rPr>
        <w:t xml:space="preserve"> </w:t>
      </w:r>
      <w:r>
        <w:rPr>
          <w:rFonts w:hint="cs"/>
          <w:rtl/>
        </w:rPr>
        <w:t xml:space="preserve">תוצאות הבחירות מתורגמות באמצעות הסכמים קואליציוניים למציאות שלטונית קונקרטית ולכינונה של ממשלה. בתוך כך, כאשר רוב חברי הכנסת מבקשים את הטלת מלאכת הרכבת הממשלה על חבר כנסת מסוים, הם עושים כן כאמור מתוקף ייפוי הכוח שניתן להם בקלפי מאת הבוחרים. תוצאות הבחירות אף מייפות את ידי הכנסת להצביע אמון בממשלה ובעומד בראשה. הנה כי כן, ההחלטה המתקבלת על ידי חברי הכנסת כגורם הממנה את ראש הממשלה היא החלטה משטרית במהותה, שביסודה שיקולים פוליטיים מובהקים, והיא מקפלת בתוכה את תמצית הגשמת רצון הבוחר.  </w:t>
      </w:r>
    </w:p>
    <w:p w:rsidR="00BA3662" w:rsidRDefault="00BA3662" w:rsidP="00BA3662">
      <w:pPr>
        <w:pStyle w:val="Ruller40"/>
        <w:rPr>
          <w:rtl/>
        </w:rPr>
      </w:pPr>
    </w:p>
    <w:p w:rsidR="00BA3662" w:rsidRDefault="00BA3662" w:rsidP="00BA3662">
      <w:pPr>
        <w:pStyle w:val="Ruller40"/>
        <w:rPr>
          <w:rtl/>
        </w:rPr>
      </w:pPr>
      <w:r>
        <w:rPr>
          <w:rFonts w:hint="cs"/>
          <w:rtl/>
        </w:rPr>
        <w:tab/>
        <w:t xml:space="preserve">בהינתן האמור, הביקורת השיפוטית על חברי הכנסת כגורם הממנה את ראש הממשלה שונה באופן מהותי ויסודי מביקורת שיפוטית על החלטה בדבר מינוי שר לממשלה. גבולותיה צרים במיוחד. כך מתחייב מן הריסון שבית משפט זה גוזר על עצמו בהתערבות בהחלטות הכנסת, בהתאם לעקרון הפרדת הרשויות; מאופייה המשטרי המובהק של החלטת המינוי; ומן הקשר הגורדי שבין החלטה זו ובין רצון הבוחר, עד כי התערבות בשיקול דעתם של חברי הכנסת מהווה התערבות ברצון הבוחר עצמו. </w:t>
      </w:r>
    </w:p>
    <w:p w:rsidR="00BA3662" w:rsidRDefault="00BA3662" w:rsidP="00BA3662">
      <w:pPr>
        <w:pStyle w:val="Ruller40"/>
        <w:rPr>
          <w:rtl/>
        </w:rPr>
      </w:pPr>
      <w:r>
        <w:rPr>
          <w:rFonts w:hint="cs"/>
          <w:rtl/>
        </w:rPr>
        <w:t xml:space="preserve">  </w:t>
      </w:r>
    </w:p>
    <w:p w:rsidR="00BA3662" w:rsidRDefault="00BA3662" w:rsidP="00BA3662">
      <w:pPr>
        <w:pStyle w:val="Ruller40"/>
        <w:rPr>
          <w:rtl/>
        </w:rPr>
      </w:pPr>
      <w:r>
        <w:rPr>
          <w:rFonts w:hint="cs"/>
          <w:rtl/>
        </w:rPr>
        <w:t>6.</w:t>
      </w:r>
      <w:r>
        <w:rPr>
          <w:rFonts w:hint="cs"/>
          <w:rtl/>
        </w:rPr>
        <w:tab/>
        <w:t>"רצון הבוחר" אינה</w:t>
      </w:r>
      <w:r w:rsidRPr="00177FBD">
        <w:rPr>
          <w:rFonts w:hint="cs"/>
          <w:rtl/>
        </w:rPr>
        <w:t xml:space="preserve"> סיסמה המופרחת לחלל האוויר.</w:t>
      </w:r>
      <w:r>
        <w:rPr>
          <w:rFonts w:hint="cs"/>
          <w:rtl/>
        </w:rPr>
        <w:t xml:space="preserve"> המשטר הדמוקרטי הישראלי הוא משטר ייצוגי, והליך הבחירות הוא היסוד שעליו מושתתת לגיטימיות השלטון. העקרונות שלאורם נקבעו כללי המשחק של הליך הבחירות מעוגנים בסעיף 4 לחוק-יסוד: הכנסת:</w:t>
      </w:r>
    </w:p>
    <w:p w:rsidR="00BA3662" w:rsidRDefault="00BA3662" w:rsidP="00BA3662">
      <w:pPr>
        <w:pStyle w:val="Ruller40"/>
        <w:spacing w:line="240" w:lineRule="auto"/>
        <w:rPr>
          <w:rtl/>
        </w:rPr>
      </w:pPr>
    </w:p>
    <w:p w:rsidR="00BA3662" w:rsidRPr="00C21B8A" w:rsidRDefault="00BA3662" w:rsidP="00BA3662">
      <w:pPr>
        <w:pStyle w:val="Ruller5"/>
        <w:rPr>
          <w:rFonts w:ascii="Century" w:hAnsi="Century" w:cs="Miriam"/>
          <w:b/>
          <w:spacing w:val="0"/>
          <w:szCs w:val="24"/>
          <w:rtl/>
        </w:rPr>
      </w:pPr>
      <w:r w:rsidRPr="00C21B8A">
        <w:rPr>
          <w:rFonts w:ascii="Century" w:hAnsi="Century" w:cs="Miriam" w:hint="eastAsia"/>
          <w:b/>
          <w:spacing w:val="0"/>
          <w:szCs w:val="24"/>
          <w:rtl/>
        </w:rPr>
        <w:t>הכנסת</w:t>
      </w:r>
      <w:r w:rsidRPr="00C21B8A">
        <w:rPr>
          <w:rFonts w:ascii="Century" w:hAnsi="Century" w:cs="Miriam"/>
          <w:b/>
          <w:spacing w:val="0"/>
          <w:szCs w:val="24"/>
          <w:rtl/>
        </w:rPr>
        <w:t xml:space="preserve"> </w:t>
      </w:r>
      <w:r w:rsidRPr="00C21B8A">
        <w:rPr>
          <w:rFonts w:ascii="Century" w:hAnsi="Century" w:cs="Miriam" w:hint="eastAsia"/>
          <w:b/>
          <w:spacing w:val="0"/>
          <w:szCs w:val="24"/>
          <w:rtl/>
        </w:rPr>
        <w:t>תיבחר</w:t>
      </w:r>
      <w:r w:rsidRPr="00C21B8A">
        <w:rPr>
          <w:rFonts w:ascii="Century" w:hAnsi="Century" w:cs="Miriam"/>
          <w:b/>
          <w:spacing w:val="0"/>
          <w:szCs w:val="24"/>
          <w:rtl/>
        </w:rPr>
        <w:t xml:space="preserve"> </w:t>
      </w:r>
      <w:r w:rsidRPr="00C21B8A">
        <w:rPr>
          <w:rFonts w:ascii="Century" w:hAnsi="Century" w:cs="Miriam" w:hint="eastAsia"/>
          <w:b/>
          <w:spacing w:val="0"/>
          <w:szCs w:val="24"/>
          <w:rtl/>
        </w:rPr>
        <w:t>בבחירות</w:t>
      </w:r>
      <w:r w:rsidRPr="00C21B8A">
        <w:rPr>
          <w:rFonts w:ascii="Century" w:hAnsi="Century" w:cs="Miriam"/>
          <w:b/>
          <w:spacing w:val="0"/>
          <w:szCs w:val="24"/>
          <w:rtl/>
        </w:rPr>
        <w:t xml:space="preserve"> </w:t>
      </w:r>
      <w:r w:rsidRPr="00C21B8A">
        <w:rPr>
          <w:rFonts w:ascii="Century" w:hAnsi="Century" w:cs="Miriam" w:hint="eastAsia"/>
          <w:b/>
          <w:spacing w:val="0"/>
          <w:szCs w:val="24"/>
          <w:rtl/>
        </w:rPr>
        <w:t>כלליות</w:t>
      </w:r>
      <w:r w:rsidRPr="00C21B8A">
        <w:rPr>
          <w:rFonts w:ascii="Century" w:hAnsi="Century" w:cs="Miriam"/>
          <w:b/>
          <w:spacing w:val="0"/>
          <w:szCs w:val="24"/>
          <w:rtl/>
        </w:rPr>
        <w:t xml:space="preserve">, </w:t>
      </w:r>
      <w:r w:rsidRPr="00C21B8A">
        <w:rPr>
          <w:rFonts w:ascii="Century" w:hAnsi="Century" w:cs="Miriam" w:hint="eastAsia"/>
          <w:b/>
          <w:spacing w:val="0"/>
          <w:szCs w:val="24"/>
          <w:rtl/>
        </w:rPr>
        <w:t>ארציות</w:t>
      </w:r>
      <w:r w:rsidRPr="00C21B8A">
        <w:rPr>
          <w:rFonts w:ascii="Century" w:hAnsi="Century" w:cs="Miriam"/>
          <w:b/>
          <w:spacing w:val="0"/>
          <w:szCs w:val="24"/>
          <w:rtl/>
        </w:rPr>
        <w:t xml:space="preserve">, </w:t>
      </w:r>
      <w:r w:rsidRPr="00C21B8A">
        <w:rPr>
          <w:rFonts w:ascii="Century" w:hAnsi="Century" w:cs="Miriam" w:hint="eastAsia"/>
          <w:b/>
          <w:spacing w:val="0"/>
          <w:szCs w:val="24"/>
          <w:rtl/>
        </w:rPr>
        <w:t>ישירות</w:t>
      </w:r>
      <w:r w:rsidRPr="00C21B8A">
        <w:rPr>
          <w:rFonts w:ascii="Century" w:hAnsi="Century" w:cs="Miriam"/>
          <w:b/>
          <w:spacing w:val="0"/>
          <w:szCs w:val="24"/>
          <w:rtl/>
        </w:rPr>
        <w:t xml:space="preserve">, </w:t>
      </w:r>
      <w:r w:rsidRPr="00C21B8A">
        <w:rPr>
          <w:rFonts w:ascii="Century" w:hAnsi="Century" w:cs="Miriam" w:hint="eastAsia"/>
          <w:b/>
          <w:spacing w:val="0"/>
          <w:szCs w:val="24"/>
          <w:rtl/>
        </w:rPr>
        <w:t>שוות</w:t>
      </w:r>
      <w:r w:rsidRPr="00C21B8A">
        <w:rPr>
          <w:rFonts w:ascii="Century" w:hAnsi="Century" w:cs="Miriam"/>
          <w:b/>
          <w:spacing w:val="0"/>
          <w:szCs w:val="24"/>
          <w:rtl/>
        </w:rPr>
        <w:t xml:space="preserve">, </w:t>
      </w:r>
      <w:r w:rsidRPr="00C21B8A">
        <w:rPr>
          <w:rFonts w:ascii="Century" w:hAnsi="Century" w:cs="Miriam" w:hint="eastAsia"/>
          <w:b/>
          <w:spacing w:val="0"/>
          <w:szCs w:val="24"/>
          <w:rtl/>
        </w:rPr>
        <w:t>חשאיות</w:t>
      </w:r>
      <w:r w:rsidRPr="00C21B8A">
        <w:rPr>
          <w:rFonts w:ascii="Century" w:hAnsi="Century" w:cs="Miriam"/>
          <w:b/>
          <w:spacing w:val="0"/>
          <w:szCs w:val="24"/>
          <w:rtl/>
        </w:rPr>
        <w:t xml:space="preserve">, </w:t>
      </w:r>
      <w:r w:rsidRPr="00C21B8A">
        <w:rPr>
          <w:rFonts w:ascii="Century" w:hAnsi="Century" w:cs="Miriam" w:hint="eastAsia"/>
          <w:b/>
          <w:spacing w:val="0"/>
          <w:szCs w:val="24"/>
          <w:rtl/>
        </w:rPr>
        <w:t>ויחסיות</w:t>
      </w:r>
      <w:r w:rsidRPr="00C21B8A">
        <w:rPr>
          <w:rFonts w:ascii="Century" w:hAnsi="Century" w:cs="Miriam"/>
          <w:b/>
          <w:spacing w:val="0"/>
          <w:szCs w:val="24"/>
          <w:rtl/>
        </w:rPr>
        <w:t xml:space="preserve">, </w:t>
      </w:r>
      <w:r w:rsidRPr="00C21B8A">
        <w:rPr>
          <w:rFonts w:ascii="Century" w:hAnsi="Century" w:cs="Miriam" w:hint="eastAsia"/>
          <w:b/>
          <w:spacing w:val="0"/>
          <w:szCs w:val="24"/>
          <w:rtl/>
        </w:rPr>
        <w:t>לפי</w:t>
      </w:r>
      <w:r w:rsidRPr="00C21B8A">
        <w:rPr>
          <w:rFonts w:ascii="Century" w:hAnsi="Century" w:cs="Miriam"/>
          <w:b/>
          <w:spacing w:val="0"/>
          <w:szCs w:val="24"/>
          <w:rtl/>
        </w:rPr>
        <w:t xml:space="preserve"> </w:t>
      </w:r>
      <w:r w:rsidRPr="00C21B8A">
        <w:rPr>
          <w:rFonts w:ascii="Century" w:hAnsi="Century" w:cs="Miriam" w:hint="eastAsia"/>
          <w:b/>
          <w:spacing w:val="0"/>
          <w:szCs w:val="24"/>
          <w:rtl/>
        </w:rPr>
        <w:t>חוק</w:t>
      </w:r>
      <w:r w:rsidRPr="00C21B8A">
        <w:rPr>
          <w:rFonts w:ascii="Century" w:hAnsi="Century" w:cs="Miriam"/>
          <w:b/>
          <w:spacing w:val="0"/>
          <w:szCs w:val="24"/>
          <w:rtl/>
        </w:rPr>
        <w:t xml:space="preserve"> </w:t>
      </w:r>
      <w:r w:rsidRPr="00C21B8A">
        <w:rPr>
          <w:rFonts w:ascii="Century" w:hAnsi="Century" w:cs="Miriam" w:hint="eastAsia"/>
          <w:b/>
          <w:spacing w:val="0"/>
          <w:szCs w:val="24"/>
          <w:rtl/>
        </w:rPr>
        <w:t>הבחירות</w:t>
      </w:r>
      <w:r w:rsidRPr="00C21B8A">
        <w:rPr>
          <w:rFonts w:ascii="Century" w:hAnsi="Century" w:cs="Miriam"/>
          <w:b/>
          <w:spacing w:val="0"/>
          <w:szCs w:val="24"/>
          <w:rtl/>
        </w:rPr>
        <w:t xml:space="preserve"> </w:t>
      </w:r>
      <w:r w:rsidRPr="00C21B8A">
        <w:rPr>
          <w:rFonts w:ascii="Century" w:hAnsi="Century" w:cs="Miriam" w:hint="eastAsia"/>
          <w:b/>
          <w:spacing w:val="0"/>
          <w:szCs w:val="24"/>
          <w:rtl/>
        </w:rPr>
        <w:t>לכנסת</w:t>
      </w:r>
      <w:r w:rsidRPr="00C21B8A">
        <w:rPr>
          <w:rFonts w:ascii="Century" w:hAnsi="Century" w:cs="Miriam"/>
          <w:b/>
          <w:spacing w:val="0"/>
          <w:szCs w:val="24"/>
          <w:rtl/>
        </w:rPr>
        <w:t xml:space="preserve">; </w:t>
      </w:r>
      <w:r w:rsidRPr="00C21B8A">
        <w:rPr>
          <w:rFonts w:ascii="Century" w:hAnsi="Century" w:cs="Miriam" w:hint="eastAsia"/>
          <w:b/>
          <w:spacing w:val="0"/>
          <w:szCs w:val="24"/>
          <w:rtl/>
        </w:rPr>
        <w:t>אין</w:t>
      </w:r>
      <w:r w:rsidRPr="00C21B8A">
        <w:rPr>
          <w:rFonts w:ascii="Century" w:hAnsi="Century" w:cs="Miriam"/>
          <w:b/>
          <w:spacing w:val="0"/>
          <w:szCs w:val="24"/>
          <w:rtl/>
        </w:rPr>
        <w:t xml:space="preserve"> </w:t>
      </w:r>
      <w:r w:rsidRPr="00C21B8A">
        <w:rPr>
          <w:rFonts w:ascii="Century" w:hAnsi="Century" w:cs="Miriam" w:hint="eastAsia"/>
          <w:b/>
          <w:spacing w:val="0"/>
          <w:szCs w:val="24"/>
          <w:rtl/>
        </w:rPr>
        <w:t>לשנות</w:t>
      </w:r>
      <w:r w:rsidRPr="00C21B8A">
        <w:rPr>
          <w:rFonts w:ascii="Century" w:hAnsi="Century" w:cs="Miriam"/>
          <w:b/>
          <w:spacing w:val="0"/>
          <w:szCs w:val="24"/>
          <w:rtl/>
        </w:rPr>
        <w:t xml:space="preserve"> </w:t>
      </w:r>
      <w:r w:rsidRPr="00C21B8A">
        <w:rPr>
          <w:rFonts w:ascii="Century" w:hAnsi="Century" w:cs="Miriam" w:hint="eastAsia"/>
          <w:b/>
          <w:spacing w:val="0"/>
          <w:szCs w:val="24"/>
          <w:rtl/>
        </w:rPr>
        <w:t>סעיף</w:t>
      </w:r>
      <w:r w:rsidRPr="00C21B8A">
        <w:rPr>
          <w:rFonts w:ascii="Century" w:hAnsi="Century" w:cs="Miriam"/>
          <w:b/>
          <w:spacing w:val="0"/>
          <w:szCs w:val="24"/>
          <w:rtl/>
        </w:rPr>
        <w:t xml:space="preserve"> </w:t>
      </w:r>
      <w:r w:rsidRPr="00C21B8A">
        <w:rPr>
          <w:rFonts w:ascii="Century" w:hAnsi="Century" w:cs="Miriam" w:hint="eastAsia"/>
          <w:b/>
          <w:spacing w:val="0"/>
          <w:szCs w:val="24"/>
          <w:rtl/>
        </w:rPr>
        <w:t>זה</w:t>
      </w:r>
      <w:r w:rsidRPr="00C21B8A">
        <w:rPr>
          <w:rFonts w:ascii="Century" w:hAnsi="Century" w:cs="Miriam"/>
          <w:b/>
          <w:spacing w:val="0"/>
          <w:szCs w:val="24"/>
          <w:rtl/>
        </w:rPr>
        <w:t xml:space="preserve">, </w:t>
      </w:r>
      <w:r w:rsidRPr="00C21B8A">
        <w:rPr>
          <w:rFonts w:ascii="Century" w:hAnsi="Century" w:cs="Miriam" w:hint="eastAsia"/>
          <w:b/>
          <w:spacing w:val="0"/>
          <w:szCs w:val="24"/>
          <w:rtl/>
        </w:rPr>
        <w:t>אלא</w:t>
      </w:r>
      <w:r w:rsidRPr="00C21B8A">
        <w:rPr>
          <w:rFonts w:ascii="Century" w:hAnsi="Century" w:cs="Miriam"/>
          <w:b/>
          <w:spacing w:val="0"/>
          <w:szCs w:val="24"/>
          <w:rtl/>
        </w:rPr>
        <w:t xml:space="preserve"> </w:t>
      </w:r>
      <w:r w:rsidRPr="00C21B8A">
        <w:rPr>
          <w:rFonts w:ascii="Century" w:hAnsi="Century" w:cs="Miriam" w:hint="eastAsia"/>
          <w:b/>
          <w:spacing w:val="0"/>
          <w:szCs w:val="24"/>
          <w:rtl/>
        </w:rPr>
        <w:t>ברוב</w:t>
      </w:r>
      <w:r w:rsidRPr="00C21B8A">
        <w:rPr>
          <w:rFonts w:ascii="Century" w:hAnsi="Century" w:cs="Miriam"/>
          <w:b/>
          <w:spacing w:val="0"/>
          <w:szCs w:val="24"/>
          <w:rtl/>
        </w:rPr>
        <w:t xml:space="preserve"> </w:t>
      </w:r>
      <w:r w:rsidRPr="00C21B8A">
        <w:rPr>
          <w:rFonts w:ascii="Century" w:hAnsi="Century" w:cs="Miriam" w:hint="eastAsia"/>
          <w:b/>
          <w:spacing w:val="0"/>
          <w:szCs w:val="24"/>
          <w:rtl/>
        </w:rPr>
        <w:t>של</w:t>
      </w:r>
      <w:r w:rsidRPr="00C21B8A">
        <w:rPr>
          <w:rFonts w:ascii="Century" w:hAnsi="Century" w:cs="Miriam"/>
          <w:b/>
          <w:spacing w:val="0"/>
          <w:szCs w:val="24"/>
          <w:rtl/>
        </w:rPr>
        <w:t xml:space="preserve"> </w:t>
      </w:r>
      <w:r w:rsidRPr="00C21B8A">
        <w:rPr>
          <w:rFonts w:ascii="Century" w:hAnsi="Century" w:cs="Miriam" w:hint="eastAsia"/>
          <w:b/>
          <w:spacing w:val="0"/>
          <w:szCs w:val="24"/>
          <w:rtl/>
        </w:rPr>
        <w:t>חברי</w:t>
      </w:r>
      <w:r w:rsidRPr="00C21B8A">
        <w:rPr>
          <w:rFonts w:ascii="Century" w:hAnsi="Century" w:cs="Miriam"/>
          <w:b/>
          <w:spacing w:val="0"/>
          <w:szCs w:val="24"/>
          <w:rtl/>
        </w:rPr>
        <w:t xml:space="preserve"> </w:t>
      </w:r>
      <w:r w:rsidRPr="00C21B8A">
        <w:rPr>
          <w:rFonts w:ascii="Century" w:hAnsi="Century" w:cs="Miriam" w:hint="eastAsia"/>
          <w:b/>
          <w:spacing w:val="0"/>
          <w:szCs w:val="24"/>
          <w:rtl/>
        </w:rPr>
        <w:t>הכנסת</w:t>
      </w:r>
      <w:r w:rsidRPr="00C21B8A">
        <w:rPr>
          <w:rFonts w:ascii="Century" w:hAnsi="Century" w:cs="Miriam"/>
          <w:b/>
          <w:spacing w:val="0"/>
          <w:szCs w:val="24"/>
          <w:rtl/>
        </w:rPr>
        <w:t>.</w:t>
      </w:r>
    </w:p>
    <w:p w:rsidR="00BA3662" w:rsidRDefault="00BA3662" w:rsidP="00BA3662">
      <w:pPr>
        <w:pStyle w:val="Ruller40"/>
        <w:spacing w:line="240" w:lineRule="auto"/>
        <w:rPr>
          <w:rtl/>
        </w:rPr>
      </w:pPr>
    </w:p>
    <w:p w:rsidR="00BA3662" w:rsidRPr="007546BE" w:rsidRDefault="00BA3662" w:rsidP="00BA3662">
      <w:pPr>
        <w:pStyle w:val="Ruller40"/>
        <w:rPr>
          <w:rFonts w:ascii="Century" w:hAnsi="Century"/>
          <w:rtl/>
        </w:rPr>
      </w:pPr>
      <w:r>
        <w:rPr>
          <w:rFonts w:hint="cs"/>
          <w:rtl/>
        </w:rPr>
        <w:tab/>
        <w:t>מדובר ב"</w:t>
      </w:r>
      <w:r w:rsidRPr="0016397D">
        <w:rPr>
          <w:rFonts w:ascii="Century" w:hAnsi="Century" w:cs="Miriam" w:hint="cs"/>
          <w:b/>
          <w:spacing w:val="0"/>
          <w:szCs w:val="24"/>
          <w:rtl/>
        </w:rPr>
        <w:t>הוראה מוסדית-משטרית, שתפקידה המרכזי הוא להתוות את מאפייניה העקרוניים של שיטת הבחירות בישראל</w:t>
      </w:r>
      <w:r>
        <w:rPr>
          <w:rFonts w:hint="cs"/>
          <w:rtl/>
        </w:rPr>
        <w:t xml:space="preserve">" (בג"ץ 3166/14 </w:t>
      </w:r>
      <w:r w:rsidRPr="007D7405">
        <w:rPr>
          <w:rFonts w:ascii="Century" w:hAnsi="Century" w:cs="Miriam" w:hint="cs"/>
          <w:b/>
          <w:spacing w:val="0"/>
          <w:szCs w:val="24"/>
          <w:rtl/>
        </w:rPr>
        <w:t>גוטמן נ' היועץ המשפטי לממשלה</w:t>
      </w:r>
      <w:r>
        <w:rPr>
          <w:rFonts w:hint="cs"/>
          <w:rtl/>
        </w:rPr>
        <w:t xml:space="preserve">, פסקה 18 (12.3.2015); להלן: </w:t>
      </w:r>
      <w:r w:rsidRPr="0043266C">
        <w:rPr>
          <w:rFonts w:ascii="Century" w:hAnsi="Century" w:cs="Miriam" w:hint="cs"/>
          <w:b/>
          <w:spacing w:val="0"/>
          <w:szCs w:val="24"/>
          <w:rtl/>
        </w:rPr>
        <w:t>עניין גוטמן</w:t>
      </w:r>
      <w:r>
        <w:rPr>
          <w:rFonts w:hint="cs"/>
          <w:rtl/>
        </w:rPr>
        <w:t xml:space="preserve">). לענייננו, בסעיף 4 טמונה אחת מאבני היסוד של הדמוקרטיה </w:t>
      </w:r>
      <w:r>
        <w:rPr>
          <w:rtl/>
        </w:rPr>
        <w:t>–</w:t>
      </w:r>
      <w:r>
        <w:rPr>
          <w:rFonts w:hint="cs"/>
          <w:rtl/>
        </w:rPr>
        <w:t xml:space="preserve"> היא הזכות לבחור ולהיבחר. "</w:t>
      </w:r>
      <w:r w:rsidRPr="0080752A">
        <w:rPr>
          <w:rFonts w:ascii="Century" w:hAnsi="Century" w:cs="Miriam"/>
          <w:b/>
          <w:spacing w:val="0"/>
          <w:szCs w:val="24"/>
          <w:rtl/>
        </w:rPr>
        <w:t>הזכות לבחור ולהיות מועמד לבחירה היא זכות אדם יסודית בכל משטר דמוקרטי</w:t>
      </w:r>
      <w:r>
        <w:rPr>
          <w:rFonts w:hint="cs"/>
          <w:rtl/>
        </w:rPr>
        <w:t xml:space="preserve">" (רע"א 7504/95 </w:t>
      </w:r>
      <w:r w:rsidRPr="0080752A">
        <w:rPr>
          <w:rFonts w:ascii="Century" w:hAnsi="Century" w:cs="Miriam" w:hint="cs"/>
          <w:b/>
          <w:spacing w:val="0"/>
          <w:szCs w:val="24"/>
          <w:rtl/>
        </w:rPr>
        <w:t>יאסין נ' רשם המפלגות</w:t>
      </w:r>
      <w:r>
        <w:rPr>
          <w:rFonts w:hint="cs"/>
          <w:rtl/>
        </w:rPr>
        <w:t>, פ"ד נ(2) 45, 58 (1996)); "</w:t>
      </w:r>
      <w:r w:rsidRPr="0080752A">
        <w:rPr>
          <w:rFonts w:ascii="Century" w:hAnsi="Century" w:cs="Miriam" w:hint="eastAsia"/>
          <w:b/>
          <w:spacing w:val="0"/>
          <w:szCs w:val="24"/>
          <w:rtl/>
        </w:rPr>
        <w:t>הגשמתן</w:t>
      </w:r>
      <w:r w:rsidRPr="0080752A">
        <w:rPr>
          <w:rFonts w:ascii="Century" w:hAnsi="Century" w:cs="Miriam"/>
          <w:b/>
          <w:spacing w:val="0"/>
          <w:szCs w:val="24"/>
          <w:rtl/>
        </w:rPr>
        <w:t xml:space="preserve"> </w:t>
      </w:r>
      <w:r w:rsidRPr="0080752A">
        <w:rPr>
          <w:rFonts w:ascii="Century" w:hAnsi="Century" w:cs="Miriam" w:hint="eastAsia"/>
          <w:b/>
          <w:spacing w:val="0"/>
          <w:szCs w:val="24"/>
          <w:rtl/>
        </w:rPr>
        <w:t>של</w:t>
      </w:r>
      <w:r w:rsidRPr="0080752A">
        <w:rPr>
          <w:rFonts w:ascii="Century" w:hAnsi="Century" w:cs="Miriam"/>
          <w:b/>
          <w:spacing w:val="0"/>
          <w:szCs w:val="24"/>
          <w:rtl/>
        </w:rPr>
        <w:t xml:space="preserve"> </w:t>
      </w:r>
      <w:r w:rsidRPr="0080752A">
        <w:rPr>
          <w:rFonts w:ascii="Century" w:hAnsi="Century" w:cs="Miriam" w:hint="eastAsia"/>
          <w:b/>
          <w:spacing w:val="0"/>
          <w:szCs w:val="24"/>
          <w:rtl/>
        </w:rPr>
        <w:t>זכויות</w:t>
      </w:r>
      <w:r w:rsidRPr="0080752A">
        <w:rPr>
          <w:rFonts w:ascii="Century" w:hAnsi="Century" w:cs="Miriam"/>
          <w:b/>
          <w:spacing w:val="0"/>
          <w:szCs w:val="24"/>
          <w:rtl/>
        </w:rPr>
        <w:t xml:space="preserve"> </w:t>
      </w:r>
      <w:r w:rsidRPr="0080752A">
        <w:rPr>
          <w:rFonts w:ascii="Century" w:hAnsi="Century" w:cs="Miriam" w:hint="eastAsia"/>
          <w:b/>
          <w:spacing w:val="0"/>
          <w:szCs w:val="24"/>
          <w:rtl/>
        </w:rPr>
        <w:t>אלה</w:t>
      </w:r>
      <w:r w:rsidRPr="0080752A">
        <w:rPr>
          <w:rFonts w:ascii="Century" w:hAnsi="Century" w:cs="Miriam"/>
          <w:b/>
          <w:spacing w:val="0"/>
          <w:szCs w:val="24"/>
          <w:rtl/>
        </w:rPr>
        <w:t xml:space="preserve"> - </w:t>
      </w:r>
      <w:r w:rsidRPr="0080752A">
        <w:rPr>
          <w:rFonts w:ascii="Century" w:hAnsi="Century" w:cs="Miriam" w:hint="eastAsia"/>
          <w:b/>
          <w:spacing w:val="0"/>
          <w:szCs w:val="24"/>
          <w:rtl/>
        </w:rPr>
        <w:t>לבחור</w:t>
      </w:r>
      <w:r w:rsidRPr="0080752A">
        <w:rPr>
          <w:rFonts w:ascii="Century" w:hAnsi="Century" w:cs="Miriam"/>
          <w:b/>
          <w:spacing w:val="0"/>
          <w:szCs w:val="24"/>
          <w:rtl/>
        </w:rPr>
        <w:t xml:space="preserve"> </w:t>
      </w:r>
      <w:r w:rsidRPr="0080752A">
        <w:rPr>
          <w:rFonts w:ascii="Century" w:hAnsi="Century" w:cs="Miriam" w:hint="eastAsia"/>
          <w:b/>
          <w:spacing w:val="0"/>
          <w:szCs w:val="24"/>
          <w:rtl/>
        </w:rPr>
        <w:t>ולהיבחר</w:t>
      </w:r>
      <w:r w:rsidRPr="0080752A">
        <w:rPr>
          <w:rFonts w:ascii="Century" w:hAnsi="Century" w:cs="Miriam"/>
          <w:b/>
          <w:spacing w:val="0"/>
          <w:szCs w:val="24"/>
          <w:rtl/>
        </w:rPr>
        <w:t xml:space="preserve"> - </w:t>
      </w:r>
      <w:r w:rsidRPr="0080752A">
        <w:rPr>
          <w:rFonts w:ascii="Century" w:hAnsi="Century" w:cs="Miriam" w:hint="eastAsia"/>
          <w:b/>
          <w:spacing w:val="0"/>
          <w:szCs w:val="24"/>
          <w:rtl/>
        </w:rPr>
        <w:t>מונחת</w:t>
      </w:r>
      <w:r w:rsidRPr="0080752A">
        <w:rPr>
          <w:rFonts w:ascii="Century" w:hAnsi="Century" w:cs="Miriam"/>
          <w:b/>
          <w:spacing w:val="0"/>
          <w:szCs w:val="24"/>
          <w:rtl/>
        </w:rPr>
        <w:t xml:space="preserve"> </w:t>
      </w:r>
      <w:r w:rsidRPr="0080752A">
        <w:rPr>
          <w:rFonts w:ascii="Century" w:hAnsi="Century" w:cs="Miriam" w:hint="eastAsia"/>
          <w:b/>
          <w:spacing w:val="0"/>
          <w:szCs w:val="24"/>
          <w:rtl/>
        </w:rPr>
        <w:t>ביסוד</w:t>
      </w:r>
      <w:r w:rsidRPr="0080752A">
        <w:rPr>
          <w:rFonts w:ascii="Century" w:hAnsi="Century" w:cs="Miriam"/>
          <w:b/>
          <w:spacing w:val="0"/>
          <w:szCs w:val="24"/>
          <w:rtl/>
        </w:rPr>
        <w:t xml:space="preserve"> </w:t>
      </w:r>
      <w:r w:rsidRPr="0080752A">
        <w:rPr>
          <w:rFonts w:ascii="Century" w:hAnsi="Century" w:cs="Miriam" w:hint="eastAsia"/>
          <w:b/>
          <w:spacing w:val="0"/>
          <w:szCs w:val="24"/>
          <w:rtl/>
        </w:rPr>
        <w:t>המבנה</w:t>
      </w:r>
      <w:r w:rsidRPr="0080752A">
        <w:rPr>
          <w:rFonts w:ascii="Century" w:hAnsi="Century" w:cs="Miriam"/>
          <w:b/>
          <w:spacing w:val="0"/>
          <w:szCs w:val="24"/>
          <w:rtl/>
        </w:rPr>
        <w:t xml:space="preserve"> </w:t>
      </w:r>
      <w:r w:rsidRPr="0080752A">
        <w:rPr>
          <w:rFonts w:ascii="Century" w:hAnsi="Century" w:cs="Miriam" w:hint="eastAsia"/>
          <w:b/>
          <w:spacing w:val="0"/>
          <w:szCs w:val="24"/>
          <w:rtl/>
        </w:rPr>
        <w:t>המדיני</w:t>
      </w:r>
      <w:r w:rsidRPr="0080752A">
        <w:rPr>
          <w:rFonts w:ascii="Century" w:hAnsi="Century" w:cs="Miriam"/>
          <w:b/>
          <w:spacing w:val="0"/>
          <w:szCs w:val="24"/>
          <w:rtl/>
        </w:rPr>
        <w:t xml:space="preserve"> </w:t>
      </w:r>
      <w:r w:rsidRPr="0080752A">
        <w:rPr>
          <w:rFonts w:ascii="Century" w:hAnsi="Century" w:cs="Miriam" w:hint="eastAsia"/>
          <w:b/>
          <w:spacing w:val="0"/>
          <w:szCs w:val="24"/>
          <w:rtl/>
        </w:rPr>
        <w:t>של</w:t>
      </w:r>
      <w:r w:rsidRPr="0080752A">
        <w:rPr>
          <w:rFonts w:ascii="Century" w:hAnsi="Century" w:cs="Miriam"/>
          <w:b/>
          <w:spacing w:val="0"/>
          <w:szCs w:val="24"/>
          <w:rtl/>
        </w:rPr>
        <w:t xml:space="preserve"> </w:t>
      </w:r>
      <w:r w:rsidRPr="0080752A">
        <w:rPr>
          <w:rFonts w:ascii="Century" w:hAnsi="Century" w:cs="Miriam" w:hint="eastAsia"/>
          <w:b/>
          <w:spacing w:val="0"/>
          <w:szCs w:val="24"/>
          <w:rtl/>
        </w:rPr>
        <w:t>מדינת</w:t>
      </w:r>
      <w:r w:rsidRPr="0080752A">
        <w:rPr>
          <w:rFonts w:ascii="Century" w:hAnsi="Century" w:cs="Miriam"/>
          <w:b/>
          <w:spacing w:val="0"/>
          <w:szCs w:val="24"/>
          <w:rtl/>
        </w:rPr>
        <w:t xml:space="preserve"> </w:t>
      </w:r>
      <w:r w:rsidRPr="0080752A">
        <w:rPr>
          <w:rFonts w:ascii="Century" w:hAnsi="Century" w:cs="Miriam" w:hint="eastAsia"/>
          <w:b/>
          <w:spacing w:val="0"/>
          <w:szCs w:val="24"/>
          <w:rtl/>
        </w:rPr>
        <w:t>ישראל</w:t>
      </w:r>
      <w:r w:rsidRPr="0080752A">
        <w:rPr>
          <w:rFonts w:ascii="Century" w:hAnsi="Century" w:cs="Miriam"/>
          <w:b/>
          <w:spacing w:val="0"/>
          <w:szCs w:val="24"/>
          <w:rtl/>
        </w:rPr>
        <w:t xml:space="preserve">. </w:t>
      </w:r>
      <w:r w:rsidRPr="0080752A">
        <w:rPr>
          <w:rFonts w:ascii="Century" w:hAnsi="Century" w:cs="Miriam" w:hint="eastAsia"/>
          <w:b/>
          <w:spacing w:val="0"/>
          <w:szCs w:val="24"/>
          <w:rtl/>
        </w:rPr>
        <w:t>היא</w:t>
      </w:r>
      <w:r w:rsidRPr="0080752A">
        <w:rPr>
          <w:rFonts w:ascii="Century" w:hAnsi="Century" w:cs="Miriam"/>
          <w:b/>
          <w:spacing w:val="0"/>
          <w:szCs w:val="24"/>
          <w:rtl/>
        </w:rPr>
        <w:t xml:space="preserve"> </w:t>
      </w:r>
      <w:r w:rsidRPr="0080752A">
        <w:rPr>
          <w:rFonts w:ascii="Century" w:hAnsi="Century" w:cs="Miriam" w:hint="eastAsia"/>
          <w:b/>
          <w:spacing w:val="0"/>
          <w:szCs w:val="24"/>
          <w:rtl/>
        </w:rPr>
        <w:t>מהווה</w:t>
      </w:r>
      <w:r w:rsidRPr="0080752A">
        <w:rPr>
          <w:rFonts w:ascii="Century" w:hAnsi="Century" w:cs="Miriam"/>
          <w:b/>
          <w:spacing w:val="0"/>
          <w:szCs w:val="24"/>
          <w:rtl/>
        </w:rPr>
        <w:t xml:space="preserve"> </w:t>
      </w:r>
      <w:r w:rsidRPr="0080752A">
        <w:rPr>
          <w:rFonts w:ascii="Century" w:hAnsi="Century" w:cs="Miriam" w:hint="eastAsia"/>
          <w:b/>
          <w:spacing w:val="0"/>
          <w:szCs w:val="24"/>
          <w:rtl/>
        </w:rPr>
        <w:t>תכלית</w:t>
      </w:r>
      <w:r w:rsidRPr="0080752A">
        <w:rPr>
          <w:rFonts w:ascii="Century" w:hAnsi="Century" w:cs="Miriam"/>
          <w:b/>
          <w:spacing w:val="0"/>
          <w:szCs w:val="24"/>
          <w:rtl/>
        </w:rPr>
        <w:t xml:space="preserve"> </w:t>
      </w:r>
      <w:r w:rsidRPr="0080752A">
        <w:rPr>
          <w:rFonts w:ascii="Century" w:hAnsi="Century" w:cs="Miriam" w:hint="eastAsia"/>
          <w:b/>
          <w:spacing w:val="0"/>
          <w:szCs w:val="24"/>
          <w:rtl/>
        </w:rPr>
        <w:t>אשר</w:t>
      </w:r>
      <w:r w:rsidRPr="0080752A">
        <w:rPr>
          <w:rFonts w:ascii="Century" w:hAnsi="Century" w:cs="Miriam"/>
          <w:b/>
          <w:spacing w:val="0"/>
          <w:szCs w:val="24"/>
          <w:rtl/>
        </w:rPr>
        <w:t xml:space="preserve"> </w:t>
      </w:r>
      <w:r w:rsidRPr="0080752A">
        <w:rPr>
          <w:rFonts w:ascii="Century" w:hAnsi="Century" w:cs="Miriam" w:hint="eastAsia"/>
          <w:b/>
          <w:spacing w:val="0"/>
          <w:szCs w:val="24"/>
          <w:rtl/>
        </w:rPr>
        <w:t>את</w:t>
      </w:r>
      <w:r w:rsidRPr="0080752A">
        <w:rPr>
          <w:rFonts w:ascii="Century" w:hAnsi="Century" w:cs="Miriam"/>
          <w:b/>
          <w:spacing w:val="0"/>
          <w:szCs w:val="24"/>
          <w:rtl/>
        </w:rPr>
        <w:t xml:space="preserve"> </w:t>
      </w:r>
      <w:r w:rsidRPr="0080752A">
        <w:rPr>
          <w:rFonts w:ascii="Century" w:hAnsi="Century" w:cs="Miriam" w:hint="eastAsia"/>
          <w:b/>
          <w:spacing w:val="0"/>
          <w:szCs w:val="24"/>
          <w:rtl/>
        </w:rPr>
        <w:t>דיניה</w:t>
      </w:r>
      <w:r w:rsidRPr="0080752A">
        <w:rPr>
          <w:rFonts w:ascii="Century" w:hAnsi="Century" w:cs="Miriam"/>
          <w:b/>
          <w:spacing w:val="0"/>
          <w:szCs w:val="24"/>
          <w:rtl/>
        </w:rPr>
        <w:t xml:space="preserve"> </w:t>
      </w:r>
      <w:r w:rsidRPr="0080752A">
        <w:rPr>
          <w:rFonts w:ascii="Century" w:hAnsi="Century" w:cs="Miriam" w:hint="eastAsia"/>
          <w:b/>
          <w:spacing w:val="0"/>
          <w:szCs w:val="24"/>
          <w:rtl/>
        </w:rPr>
        <w:t>מבקשים</w:t>
      </w:r>
      <w:r w:rsidRPr="0080752A">
        <w:rPr>
          <w:rFonts w:ascii="Century" w:hAnsi="Century" w:cs="Miriam"/>
          <w:b/>
          <w:spacing w:val="0"/>
          <w:szCs w:val="24"/>
          <w:rtl/>
        </w:rPr>
        <w:t xml:space="preserve"> </w:t>
      </w:r>
      <w:r w:rsidRPr="0080752A">
        <w:rPr>
          <w:rFonts w:ascii="Century" w:hAnsi="Century" w:cs="Miriam" w:hint="eastAsia"/>
          <w:b/>
          <w:spacing w:val="0"/>
          <w:szCs w:val="24"/>
          <w:rtl/>
        </w:rPr>
        <w:t>להגשים</w:t>
      </w:r>
      <w:r w:rsidRPr="005F5150">
        <w:rPr>
          <w:rtl/>
        </w:rPr>
        <w:t xml:space="preserve">" </w:t>
      </w:r>
      <w:r w:rsidRPr="007546BE">
        <w:rPr>
          <w:rtl/>
        </w:rPr>
        <w:t>(</w:t>
      </w:r>
      <w:r w:rsidRPr="007546BE">
        <w:rPr>
          <w:rFonts w:hint="eastAsia"/>
          <w:rtl/>
        </w:rPr>
        <w:t>בג</w:t>
      </w:r>
      <w:r w:rsidRPr="007546BE">
        <w:rPr>
          <w:rtl/>
        </w:rPr>
        <w:t>"</w:t>
      </w:r>
      <w:r w:rsidRPr="007546BE">
        <w:rPr>
          <w:rFonts w:hint="eastAsia"/>
          <w:rtl/>
        </w:rPr>
        <w:t>צ</w:t>
      </w:r>
      <w:r w:rsidRPr="007546BE">
        <w:rPr>
          <w:rtl/>
        </w:rPr>
        <w:t xml:space="preserve"> 7157/95</w:t>
      </w:r>
      <w:r w:rsidRPr="007546BE">
        <w:rPr>
          <w:rFonts w:hint="cs"/>
          <w:rtl/>
        </w:rPr>
        <w:t xml:space="preserve"> </w:t>
      </w:r>
      <w:r w:rsidRPr="007546BE">
        <w:rPr>
          <w:rFonts w:ascii="Century" w:hAnsi="Century" w:cs="Miriam" w:hint="eastAsia"/>
          <w:b/>
          <w:spacing w:val="0"/>
          <w:szCs w:val="24"/>
          <w:rtl/>
        </w:rPr>
        <w:t>ארד</w:t>
      </w:r>
      <w:r w:rsidRPr="007546BE">
        <w:rPr>
          <w:rFonts w:ascii="Century" w:hAnsi="Century" w:cs="Miriam"/>
          <w:b/>
          <w:spacing w:val="0"/>
          <w:szCs w:val="24"/>
          <w:rtl/>
        </w:rPr>
        <w:t xml:space="preserve"> </w:t>
      </w:r>
      <w:r w:rsidRPr="007546BE">
        <w:rPr>
          <w:rFonts w:ascii="Century" w:hAnsi="Century" w:cs="Miriam" w:hint="eastAsia"/>
          <w:b/>
          <w:spacing w:val="0"/>
          <w:szCs w:val="24"/>
          <w:rtl/>
        </w:rPr>
        <w:t>נ</w:t>
      </w:r>
      <w:r w:rsidRPr="007546BE">
        <w:rPr>
          <w:rFonts w:ascii="Century" w:hAnsi="Century" w:cs="Miriam"/>
          <w:b/>
          <w:spacing w:val="0"/>
          <w:szCs w:val="24"/>
          <w:rtl/>
        </w:rPr>
        <w:t xml:space="preserve">' </w:t>
      </w:r>
      <w:r w:rsidRPr="007546BE">
        <w:rPr>
          <w:rFonts w:ascii="Century" w:hAnsi="Century" w:cs="Miriam" w:hint="eastAsia"/>
          <w:b/>
          <w:spacing w:val="0"/>
          <w:szCs w:val="24"/>
          <w:rtl/>
        </w:rPr>
        <w:t>יושב</w:t>
      </w:r>
      <w:r w:rsidRPr="007546BE">
        <w:rPr>
          <w:rFonts w:ascii="Century" w:hAnsi="Century" w:cs="Miriam"/>
          <w:b/>
          <w:spacing w:val="0"/>
          <w:szCs w:val="24"/>
          <w:rtl/>
        </w:rPr>
        <w:t>-</w:t>
      </w:r>
      <w:r w:rsidRPr="007546BE">
        <w:rPr>
          <w:rFonts w:ascii="Century" w:hAnsi="Century" w:cs="Miriam" w:hint="eastAsia"/>
          <w:b/>
          <w:spacing w:val="0"/>
          <w:szCs w:val="24"/>
          <w:rtl/>
        </w:rPr>
        <w:t>ראש</w:t>
      </w:r>
      <w:r w:rsidRPr="007546BE">
        <w:rPr>
          <w:rFonts w:ascii="Century" w:hAnsi="Century" w:cs="Miriam"/>
          <w:b/>
          <w:spacing w:val="0"/>
          <w:szCs w:val="24"/>
          <w:rtl/>
        </w:rPr>
        <w:t xml:space="preserve"> </w:t>
      </w:r>
      <w:r w:rsidRPr="007546BE">
        <w:rPr>
          <w:rFonts w:ascii="Century" w:hAnsi="Century" w:cs="Miriam" w:hint="eastAsia"/>
          <w:b/>
          <w:spacing w:val="0"/>
          <w:szCs w:val="24"/>
          <w:rtl/>
        </w:rPr>
        <w:t>הכנסת</w:t>
      </w:r>
      <w:r w:rsidRPr="007546BE">
        <w:rPr>
          <w:rFonts w:ascii="Century" w:hAnsi="Century" w:cs="Miriam"/>
          <w:b/>
          <w:spacing w:val="0"/>
          <w:szCs w:val="24"/>
          <w:rtl/>
        </w:rPr>
        <w:t xml:space="preserve">,  </w:t>
      </w:r>
      <w:r w:rsidRPr="007546BE">
        <w:rPr>
          <w:rFonts w:ascii="Century" w:hAnsi="Century" w:hint="eastAsia"/>
          <w:rtl/>
        </w:rPr>
        <w:t>פ</w:t>
      </w:r>
      <w:r w:rsidRPr="007546BE">
        <w:rPr>
          <w:rFonts w:ascii="Century" w:hAnsi="Century"/>
          <w:rtl/>
        </w:rPr>
        <w:t>"</w:t>
      </w:r>
      <w:r w:rsidRPr="007546BE">
        <w:rPr>
          <w:rFonts w:ascii="Century" w:hAnsi="Century" w:hint="eastAsia"/>
          <w:rtl/>
        </w:rPr>
        <w:t>ד</w:t>
      </w:r>
      <w:r w:rsidRPr="007546BE">
        <w:rPr>
          <w:rFonts w:ascii="Century" w:hAnsi="Century"/>
          <w:rtl/>
        </w:rPr>
        <w:t xml:space="preserve"> </w:t>
      </w:r>
      <w:r w:rsidRPr="007546BE">
        <w:rPr>
          <w:rFonts w:ascii="Century" w:hAnsi="Century" w:hint="eastAsia"/>
          <w:rtl/>
        </w:rPr>
        <w:t>נ</w:t>
      </w:r>
      <w:r w:rsidRPr="007546BE">
        <w:rPr>
          <w:rFonts w:ascii="Century" w:hAnsi="Century"/>
          <w:rtl/>
        </w:rPr>
        <w:t>(1) 573, 587</w:t>
      </w:r>
      <w:r w:rsidRPr="007546BE">
        <w:rPr>
          <w:rFonts w:hint="cs"/>
          <w:rtl/>
        </w:rPr>
        <w:t xml:space="preserve"> (1996)</w:t>
      </w:r>
      <w:r w:rsidRPr="007546BE">
        <w:rPr>
          <w:rtl/>
        </w:rPr>
        <w:t>)</w:t>
      </w:r>
      <w:r w:rsidRPr="007546BE">
        <w:rPr>
          <w:rFonts w:hint="cs"/>
          <w:rtl/>
        </w:rPr>
        <w:t>;</w:t>
      </w:r>
      <w:r w:rsidRPr="0080752A">
        <w:rPr>
          <w:rtl/>
        </w:rPr>
        <w:t xml:space="preserve"> </w:t>
      </w:r>
      <w:r>
        <w:rPr>
          <w:rFonts w:hint="cs"/>
          <w:rtl/>
        </w:rPr>
        <w:t>"</w:t>
      </w:r>
      <w:r w:rsidRPr="00B153D4">
        <w:rPr>
          <w:rFonts w:ascii="Century" w:hAnsi="Century" w:cs="Miriam"/>
          <w:b/>
          <w:spacing w:val="0"/>
          <w:szCs w:val="24"/>
          <w:rtl/>
        </w:rPr>
        <w:t>הזכות להתמודד בבחירות היא זכות יסוד מדינית, המבטאת את רעיון</w:t>
      </w:r>
      <w:r w:rsidRPr="00B153D4">
        <w:rPr>
          <w:rFonts w:ascii="Century" w:hAnsi="Century" w:cs="Miriam"/>
          <w:b/>
          <w:spacing w:val="0"/>
          <w:szCs w:val="24"/>
        </w:rPr>
        <w:t xml:space="preserve"> </w:t>
      </w:r>
      <w:r w:rsidRPr="00B153D4">
        <w:rPr>
          <w:rFonts w:ascii="Century" w:hAnsi="Century" w:cs="Miriam"/>
          <w:b/>
          <w:spacing w:val="0"/>
          <w:szCs w:val="24"/>
          <w:rtl/>
        </w:rPr>
        <w:t>השוויון, חירות הביטוי וחופש ההתאגדות. מכאן, כי קיומה של זכות זו וההקפדה על שמירתה הם מן הסימנים המובהקים של חברה דמוקרטית</w:t>
      </w:r>
      <w:r>
        <w:rPr>
          <w:rtl/>
        </w:rPr>
        <w:t>" (</w:t>
      </w:r>
      <w:r w:rsidRPr="007546BE">
        <w:rPr>
          <w:rFonts w:hint="eastAsia"/>
          <w:rtl/>
        </w:rPr>
        <w:t>ע</w:t>
      </w:r>
      <w:r w:rsidRPr="007546BE">
        <w:rPr>
          <w:rtl/>
        </w:rPr>
        <w:t>"</w:t>
      </w:r>
      <w:r w:rsidRPr="007546BE">
        <w:rPr>
          <w:rFonts w:hint="eastAsia"/>
          <w:rtl/>
        </w:rPr>
        <w:t>ב</w:t>
      </w:r>
      <w:r w:rsidRPr="007546BE">
        <w:rPr>
          <w:rtl/>
        </w:rPr>
        <w:t xml:space="preserve"> 1/88 </w:t>
      </w:r>
      <w:r w:rsidRPr="007546BE">
        <w:rPr>
          <w:rFonts w:ascii="Century" w:hAnsi="Century" w:cs="Miriam" w:hint="eastAsia"/>
          <w:b/>
          <w:spacing w:val="0"/>
          <w:szCs w:val="24"/>
          <w:rtl/>
        </w:rPr>
        <w:t>ניימן</w:t>
      </w:r>
      <w:r w:rsidRPr="007546BE">
        <w:rPr>
          <w:rFonts w:ascii="Century" w:hAnsi="Century" w:cs="Miriam"/>
          <w:b/>
          <w:spacing w:val="0"/>
          <w:szCs w:val="24"/>
          <w:rtl/>
        </w:rPr>
        <w:t xml:space="preserve"> </w:t>
      </w:r>
      <w:r w:rsidRPr="007546BE">
        <w:rPr>
          <w:rFonts w:ascii="Century" w:hAnsi="Century" w:cs="Miriam" w:hint="eastAsia"/>
          <w:b/>
          <w:spacing w:val="0"/>
          <w:szCs w:val="24"/>
          <w:rtl/>
        </w:rPr>
        <w:t>נ</w:t>
      </w:r>
      <w:r w:rsidRPr="007546BE">
        <w:rPr>
          <w:rFonts w:ascii="Century" w:hAnsi="Century" w:cs="Miriam"/>
          <w:b/>
          <w:spacing w:val="0"/>
          <w:szCs w:val="24"/>
          <w:rtl/>
        </w:rPr>
        <w:t xml:space="preserve">' </w:t>
      </w:r>
      <w:r w:rsidRPr="007546BE">
        <w:rPr>
          <w:rFonts w:ascii="Century" w:hAnsi="Century" w:cs="Miriam" w:hint="eastAsia"/>
          <w:b/>
          <w:spacing w:val="0"/>
          <w:szCs w:val="24"/>
          <w:rtl/>
        </w:rPr>
        <w:t>יו</w:t>
      </w:r>
      <w:r w:rsidRPr="007546BE">
        <w:rPr>
          <w:rFonts w:ascii="Century" w:hAnsi="Century" w:cs="Miriam"/>
          <w:b/>
          <w:spacing w:val="0"/>
          <w:szCs w:val="24"/>
          <w:rtl/>
        </w:rPr>
        <w:t>"</w:t>
      </w:r>
      <w:r w:rsidRPr="007546BE">
        <w:rPr>
          <w:rFonts w:ascii="Century" w:hAnsi="Century" w:cs="Miriam" w:hint="eastAsia"/>
          <w:b/>
          <w:spacing w:val="0"/>
          <w:szCs w:val="24"/>
          <w:rtl/>
        </w:rPr>
        <w:t>ר</w:t>
      </w:r>
      <w:r w:rsidRPr="007546BE">
        <w:rPr>
          <w:rFonts w:ascii="Century" w:hAnsi="Century" w:cs="Miriam"/>
          <w:b/>
          <w:spacing w:val="0"/>
          <w:szCs w:val="24"/>
          <w:rtl/>
        </w:rPr>
        <w:t xml:space="preserve"> </w:t>
      </w:r>
      <w:r w:rsidRPr="007546BE">
        <w:rPr>
          <w:rFonts w:ascii="Century" w:hAnsi="Century" w:cs="Miriam" w:hint="eastAsia"/>
          <w:b/>
          <w:spacing w:val="0"/>
          <w:szCs w:val="24"/>
          <w:rtl/>
        </w:rPr>
        <w:t>ועדת</w:t>
      </w:r>
      <w:r w:rsidRPr="007546BE">
        <w:rPr>
          <w:rFonts w:ascii="Century" w:hAnsi="Century" w:cs="Miriam"/>
          <w:b/>
          <w:spacing w:val="0"/>
          <w:szCs w:val="24"/>
          <w:rtl/>
        </w:rPr>
        <w:t xml:space="preserve"> </w:t>
      </w:r>
      <w:r w:rsidRPr="007546BE">
        <w:rPr>
          <w:rFonts w:ascii="Century" w:hAnsi="Century" w:cs="Miriam" w:hint="eastAsia"/>
          <w:b/>
          <w:spacing w:val="0"/>
          <w:szCs w:val="24"/>
          <w:rtl/>
        </w:rPr>
        <w:t>הבחירות</w:t>
      </w:r>
      <w:r w:rsidRPr="007546BE">
        <w:rPr>
          <w:rFonts w:ascii="Century" w:hAnsi="Century" w:cs="Miriam"/>
          <w:b/>
          <w:spacing w:val="0"/>
          <w:szCs w:val="24"/>
          <w:rtl/>
        </w:rPr>
        <w:t xml:space="preserve"> </w:t>
      </w:r>
      <w:r w:rsidRPr="007546BE">
        <w:rPr>
          <w:rFonts w:ascii="Century" w:hAnsi="Century" w:cs="Miriam" w:hint="eastAsia"/>
          <w:b/>
          <w:spacing w:val="0"/>
          <w:szCs w:val="24"/>
          <w:rtl/>
        </w:rPr>
        <w:t>המרכזית</w:t>
      </w:r>
      <w:r w:rsidRPr="007546BE">
        <w:rPr>
          <w:rFonts w:ascii="Century" w:hAnsi="Century" w:cs="Miriam"/>
          <w:b/>
          <w:spacing w:val="0"/>
          <w:szCs w:val="24"/>
          <w:rtl/>
        </w:rPr>
        <w:t xml:space="preserve"> </w:t>
      </w:r>
      <w:r w:rsidRPr="007546BE">
        <w:rPr>
          <w:rFonts w:ascii="Century" w:hAnsi="Century" w:cs="Miriam" w:hint="eastAsia"/>
          <w:b/>
          <w:spacing w:val="0"/>
          <w:szCs w:val="24"/>
          <w:rtl/>
        </w:rPr>
        <w:t>לכנסת</w:t>
      </w:r>
      <w:r w:rsidRPr="007546BE">
        <w:rPr>
          <w:rFonts w:ascii="Century" w:hAnsi="Century" w:cs="Miriam"/>
          <w:b/>
          <w:spacing w:val="0"/>
          <w:szCs w:val="24"/>
          <w:rtl/>
        </w:rPr>
        <w:t xml:space="preserve"> </w:t>
      </w:r>
      <w:r w:rsidRPr="007546BE">
        <w:rPr>
          <w:rFonts w:ascii="Century" w:hAnsi="Century" w:cs="Miriam" w:hint="eastAsia"/>
          <w:b/>
          <w:spacing w:val="0"/>
          <w:szCs w:val="24"/>
          <w:rtl/>
        </w:rPr>
        <w:t>השתים</w:t>
      </w:r>
      <w:r w:rsidRPr="007546BE">
        <w:rPr>
          <w:rFonts w:ascii="Century" w:hAnsi="Century" w:cs="Miriam"/>
          <w:b/>
          <w:spacing w:val="0"/>
          <w:szCs w:val="24"/>
          <w:rtl/>
        </w:rPr>
        <w:t>-</w:t>
      </w:r>
      <w:r w:rsidRPr="007546BE">
        <w:rPr>
          <w:rFonts w:ascii="Century" w:hAnsi="Century" w:cs="Miriam" w:hint="eastAsia"/>
          <w:b/>
          <w:spacing w:val="0"/>
          <w:szCs w:val="24"/>
          <w:rtl/>
        </w:rPr>
        <w:t>עשרה</w:t>
      </w:r>
      <w:r w:rsidRPr="007546BE">
        <w:rPr>
          <w:rtl/>
        </w:rPr>
        <w:t xml:space="preserve">, </w:t>
      </w:r>
      <w:r w:rsidRPr="007546BE">
        <w:rPr>
          <w:rFonts w:ascii="Century" w:hAnsi="Century" w:hint="eastAsia"/>
          <w:rtl/>
        </w:rPr>
        <w:t>פ</w:t>
      </w:r>
      <w:r w:rsidRPr="007546BE">
        <w:rPr>
          <w:rFonts w:ascii="Century" w:hAnsi="Century"/>
          <w:rtl/>
        </w:rPr>
        <w:t>"</w:t>
      </w:r>
      <w:r w:rsidRPr="007546BE">
        <w:rPr>
          <w:rFonts w:ascii="Century" w:hAnsi="Century" w:hint="eastAsia"/>
          <w:rtl/>
        </w:rPr>
        <w:t>ד</w:t>
      </w:r>
      <w:r w:rsidRPr="007546BE">
        <w:rPr>
          <w:rFonts w:ascii="Century" w:hAnsi="Century"/>
          <w:rtl/>
        </w:rPr>
        <w:t xml:space="preserve"> </w:t>
      </w:r>
      <w:r w:rsidRPr="007546BE">
        <w:rPr>
          <w:rFonts w:ascii="Century" w:hAnsi="Century" w:hint="eastAsia"/>
          <w:rtl/>
        </w:rPr>
        <w:t>מב</w:t>
      </w:r>
      <w:r w:rsidRPr="007546BE">
        <w:rPr>
          <w:rFonts w:ascii="Century" w:hAnsi="Century"/>
          <w:rtl/>
        </w:rPr>
        <w:t xml:space="preserve">(4) 177, </w:t>
      </w:r>
      <w:r w:rsidRPr="007546BE">
        <w:rPr>
          <w:rFonts w:ascii="Century" w:hAnsi="Century"/>
        </w:rPr>
        <w:t>185</w:t>
      </w:r>
      <w:r w:rsidRPr="007546BE">
        <w:rPr>
          <w:rFonts w:ascii="Century" w:hAnsi="Century" w:hint="cs"/>
          <w:rtl/>
        </w:rPr>
        <w:t xml:space="preserve"> (1988)</w:t>
      </w:r>
      <w:r w:rsidRPr="007546BE">
        <w:rPr>
          <w:rFonts w:ascii="Century" w:hAnsi="Century"/>
          <w:rtl/>
        </w:rPr>
        <w:t>).</w:t>
      </w:r>
    </w:p>
    <w:p w:rsidR="00BA3662" w:rsidRDefault="00BA3662" w:rsidP="00BA3662">
      <w:pPr>
        <w:pStyle w:val="Ruller40"/>
        <w:rPr>
          <w:rtl/>
        </w:rPr>
      </w:pPr>
    </w:p>
    <w:p w:rsidR="00BA3662" w:rsidRDefault="00BA3662" w:rsidP="00BA3662">
      <w:pPr>
        <w:pStyle w:val="Ruller40"/>
        <w:rPr>
          <w:rtl/>
        </w:rPr>
      </w:pPr>
      <w:r>
        <w:rPr>
          <w:rFonts w:hint="cs"/>
          <w:rtl/>
        </w:rPr>
        <w:tab/>
      </w:r>
      <w:r>
        <w:rPr>
          <w:rFonts w:ascii="Times New Roman" w:hAnsi="Times New Roman" w:hint="cs"/>
          <w:rtl/>
        </w:rPr>
        <w:t xml:space="preserve">המפלגות הן האמצעי שדרכו מוגשם עקרון הייצוג ובאמצעותו מתממשת הזכות לבחור ולהיבחר, שכן חברות ברשימה שהוגשה על ידי מפלגה היא תנאי להתמודדות בבחירות (עניין </w:t>
      </w:r>
      <w:r w:rsidRPr="007139A6">
        <w:rPr>
          <w:rFonts w:ascii="Century" w:hAnsi="Century" w:cs="Miriam" w:hint="cs"/>
          <w:b/>
          <w:spacing w:val="0"/>
          <w:szCs w:val="24"/>
          <w:rtl/>
        </w:rPr>
        <w:t>גוטמן</w:t>
      </w:r>
      <w:r>
        <w:rPr>
          <w:rFonts w:ascii="Times New Roman" w:hAnsi="Times New Roman" w:hint="cs"/>
          <w:rtl/>
        </w:rPr>
        <w:t xml:space="preserve">, בפסקה </w:t>
      </w:r>
      <w:r>
        <w:rPr>
          <w:rFonts w:hint="cs"/>
          <w:rtl/>
        </w:rPr>
        <w:t>27). "</w:t>
      </w:r>
      <w:r w:rsidRPr="0013505D">
        <w:rPr>
          <w:rFonts w:ascii="Century" w:hAnsi="Century" w:cs="Miriam" w:hint="eastAsia"/>
          <w:b/>
          <w:spacing w:val="0"/>
          <w:szCs w:val="24"/>
          <w:rtl/>
        </w:rPr>
        <w:t>בדמוקרטיה</w:t>
      </w:r>
      <w:r w:rsidRPr="0013505D">
        <w:rPr>
          <w:rFonts w:ascii="Century" w:hAnsi="Century" w:cs="Miriam"/>
          <w:b/>
          <w:spacing w:val="0"/>
          <w:szCs w:val="24"/>
          <w:rtl/>
        </w:rPr>
        <w:t xml:space="preserve"> </w:t>
      </w:r>
      <w:r w:rsidRPr="0013505D">
        <w:rPr>
          <w:rFonts w:ascii="Century" w:hAnsi="Century" w:cs="Miriam" w:hint="eastAsia"/>
          <w:b/>
          <w:spacing w:val="0"/>
          <w:szCs w:val="24"/>
          <w:rtl/>
        </w:rPr>
        <w:t>הייצוגית</w:t>
      </w:r>
      <w:r w:rsidRPr="0013505D">
        <w:rPr>
          <w:rFonts w:ascii="Century" w:hAnsi="Century" w:cs="Miriam"/>
          <w:b/>
          <w:spacing w:val="0"/>
          <w:szCs w:val="24"/>
          <w:rtl/>
        </w:rPr>
        <w:t xml:space="preserve">, </w:t>
      </w:r>
      <w:r w:rsidRPr="0013505D">
        <w:rPr>
          <w:rFonts w:ascii="Century" w:hAnsi="Century" w:cs="Miriam" w:hint="eastAsia"/>
          <w:b/>
          <w:spacing w:val="0"/>
          <w:szCs w:val="24"/>
          <w:rtl/>
        </w:rPr>
        <w:t>המפלגות</w:t>
      </w:r>
      <w:r w:rsidRPr="0013505D">
        <w:rPr>
          <w:rFonts w:ascii="Century" w:hAnsi="Century" w:cs="Miriam"/>
          <w:b/>
          <w:spacing w:val="0"/>
          <w:szCs w:val="24"/>
          <w:rtl/>
        </w:rPr>
        <w:t xml:space="preserve"> </w:t>
      </w:r>
      <w:r w:rsidRPr="0013505D">
        <w:rPr>
          <w:rFonts w:ascii="Century" w:hAnsi="Century" w:cs="Miriam" w:hint="eastAsia"/>
          <w:b/>
          <w:spacing w:val="0"/>
          <w:szCs w:val="24"/>
          <w:rtl/>
        </w:rPr>
        <w:t>הן</w:t>
      </w:r>
      <w:r w:rsidRPr="0013505D">
        <w:rPr>
          <w:rFonts w:ascii="Century" w:hAnsi="Century" w:cs="Miriam"/>
          <w:b/>
          <w:spacing w:val="0"/>
          <w:szCs w:val="24"/>
          <w:rtl/>
        </w:rPr>
        <w:t xml:space="preserve"> </w:t>
      </w:r>
      <w:r w:rsidRPr="0013505D">
        <w:rPr>
          <w:rFonts w:ascii="Century" w:hAnsi="Century" w:cs="Miriam" w:hint="eastAsia"/>
          <w:b/>
          <w:spacing w:val="0"/>
          <w:szCs w:val="24"/>
          <w:rtl/>
        </w:rPr>
        <w:t>הצינור</w:t>
      </w:r>
      <w:r w:rsidRPr="0013505D">
        <w:rPr>
          <w:rFonts w:ascii="Century" w:hAnsi="Century" w:cs="Miriam"/>
          <w:b/>
          <w:spacing w:val="0"/>
          <w:szCs w:val="24"/>
          <w:rtl/>
        </w:rPr>
        <w:t xml:space="preserve"> </w:t>
      </w:r>
      <w:r w:rsidRPr="0013505D">
        <w:rPr>
          <w:rFonts w:ascii="Century" w:hAnsi="Century" w:cs="Miriam" w:hint="eastAsia"/>
          <w:b/>
          <w:spacing w:val="0"/>
          <w:szCs w:val="24"/>
          <w:rtl/>
        </w:rPr>
        <w:t>להעברת</w:t>
      </w:r>
      <w:r w:rsidRPr="0013505D">
        <w:rPr>
          <w:rFonts w:ascii="Century" w:hAnsi="Century" w:cs="Miriam"/>
          <w:b/>
          <w:spacing w:val="0"/>
          <w:szCs w:val="24"/>
          <w:rtl/>
        </w:rPr>
        <w:t xml:space="preserve"> </w:t>
      </w:r>
      <w:r w:rsidRPr="0013505D">
        <w:rPr>
          <w:rFonts w:ascii="Century" w:hAnsi="Century" w:cs="Miriam" w:hint="eastAsia"/>
          <w:b/>
          <w:spacing w:val="0"/>
          <w:szCs w:val="24"/>
          <w:rtl/>
        </w:rPr>
        <w:t>רצון</w:t>
      </w:r>
      <w:r w:rsidRPr="0013505D">
        <w:rPr>
          <w:rFonts w:ascii="Century" w:hAnsi="Century" w:cs="Miriam"/>
          <w:b/>
          <w:spacing w:val="0"/>
          <w:szCs w:val="24"/>
          <w:rtl/>
        </w:rPr>
        <w:t xml:space="preserve"> </w:t>
      </w:r>
      <w:r w:rsidRPr="0013505D">
        <w:rPr>
          <w:rFonts w:ascii="Century" w:hAnsi="Century" w:cs="Miriam" w:hint="eastAsia"/>
          <w:b/>
          <w:spacing w:val="0"/>
          <w:szCs w:val="24"/>
          <w:rtl/>
        </w:rPr>
        <w:t>האזרחים</w:t>
      </w:r>
      <w:r w:rsidRPr="0013505D">
        <w:rPr>
          <w:rFonts w:ascii="Century" w:hAnsi="Century" w:cs="Miriam"/>
          <w:b/>
          <w:spacing w:val="0"/>
          <w:szCs w:val="24"/>
          <w:rtl/>
        </w:rPr>
        <w:t xml:space="preserve"> </w:t>
      </w:r>
      <w:r w:rsidRPr="0013505D">
        <w:rPr>
          <w:rFonts w:ascii="Century" w:hAnsi="Century" w:cs="Miriam" w:hint="eastAsia"/>
          <w:b/>
          <w:spacing w:val="0"/>
          <w:szCs w:val="24"/>
          <w:rtl/>
        </w:rPr>
        <w:t>לשלטון</w:t>
      </w:r>
      <w:r w:rsidRPr="0013505D">
        <w:rPr>
          <w:rtl/>
        </w:rPr>
        <w:t>" (</w:t>
      </w:r>
      <w:r w:rsidRPr="0013505D">
        <w:rPr>
          <w:rFonts w:hint="eastAsia"/>
          <w:rtl/>
        </w:rPr>
        <w:t>א</w:t>
      </w:r>
      <w:r w:rsidRPr="0013505D">
        <w:rPr>
          <w:rtl/>
        </w:rPr>
        <w:t>"</w:t>
      </w:r>
      <w:r w:rsidRPr="0013505D">
        <w:rPr>
          <w:rFonts w:hint="eastAsia"/>
          <w:rtl/>
        </w:rPr>
        <w:t>ב</w:t>
      </w:r>
      <w:r w:rsidRPr="0013505D">
        <w:rPr>
          <w:rtl/>
        </w:rPr>
        <w:t xml:space="preserve"> 9255/12 </w:t>
      </w:r>
      <w:r w:rsidRPr="0013505D">
        <w:rPr>
          <w:rFonts w:ascii="Century" w:hAnsi="Century" w:cs="Miriam" w:hint="eastAsia"/>
          <w:b/>
          <w:spacing w:val="0"/>
          <w:szCs w:val="24"/>
          <w:rtl/>
        </w:rPr>
        <w:t>ועדת</w:t>
      </w:r>
      <w:r w:rsidRPr="0013505D">
        <w:rPr>
          <w:rFonts w:ascii="Century" w:hAnsi="Century" w:cs="Miriam"/>
          <w:b/>
          <w:spacing w:val="0"/>
          <w:szCs w:val="24"/>
          <w:rtl/>
        </w:rPr>
        <w:t xml:space="preserve"> </w:t>
      </w:r>
      <w:r w:rsidRPr="0013505D">
        <w:rPr>
          <w:rFonts w:ascii="Century" w:hAnsi="Century" w:cs="Miriam" w:hint="eastAsia"/>
          <w:b/>
          <w:spacing w:val="0"/>
          <w:szCs w:val="24"/>
          <w:rtl/>
        </w:rPr>
        <w:t>הבחירות</w:t>
      </w:r>
      <w:r w:rsidRPr="0013505D">
        <w:rPr>
          <w:rFonts w:ascii="Century" w:hAnsi="Century" w:cs="Miriam"/>
          <w:b/>
          <w:spacing w:val="0"/>
          <w:szCs w:val="24"/>
          <w:rtl/>
        </w:rPr>
        <w:t xml:space="preserve"> </w:t>
      </w:r>
      <w:r w:rsidRPr="0013505D">
        <w:rPr>
          <w:rFonts w:ascii="Century" w:hAnsi="Century" w:cs="Miriam" w:hint="eastAsia"/>
          <w:b/>
          <w:spacing w:val="0"/>
          <w:szCs w:val="24"/>
          <w:rtl/>
        </w:rPr>
        <w:t>המרכזית</w:t>
      </w:r>
      <w:r w:rsidRPr="0013505D">
        <w:rPr>
          <w:rFonts w:ascii="Century" w:hAnsi="Century" w:cs="Miriam"/>
          <w:b/>
          <w:spacing w:val="0"/>
          <w:szCs w:val="24"/>
          <w:rtl/>
        </w:rPr>
        <w:t xml:space="preserve"> </w:t>
      </w:r>
      <w:r w:rsidRPr="0013505D">
        <w:rPr>
          <w:rFonts w:ascii="Century" w:hAnsi="Century" w:cs="Miriam" w:hint="eastAsia"/>
          <w:b/>
          <w:spacing w:val="0"/>
          <w:szCs w:val="24"/>
          <w:rtl/>
        </w:rPr>
        <w:t>לכנסת</w:t>
      </w:r>
      <w:r w:rsidRPr="0013505D">
        <w:rPr>
          <w:rFonts w:ascii="Century" w:hAnsi="Century" w:cs="Miriam"/>
          <w:b/>
          <w:spacing w:val="0"/>
          <w:szCs w:val="24"/>
          <w:rtl/>
        </w:rPr>
        <w:t xml:space="preserve"> </w:t>
      </w:r>
      <w:r w:rsidRPr="0013505D">
        <w:rPr>
          <w:rFonts w:ascii="Century" w:hAnsi="Century" w:cs="Miriam" w:hint="eastAsia"/>
          <w:b/>
          <w:spacing w:val="0"/>
          <w:szCs w:val="24"/>
          <w:rtl/>
        </w:rPr>
        <w:t>התשע</w:t>
      </w:r>
      <w:r w:rsidRPr="0013505D">
        <w:rPr>
          <w:rFonts w:ascii="Century" w:hAnsi="Century" w:cs="Miriam"/>
          <w:b/>
          <w:spacing w:val="0"/>
          <w:szCs w:val="24"/>
          <w:rtl/>
        </w:rPr>
        <w:t>-</w:t>
      </w:r>
      <w:r w:rsidRPr="0013505D">
        <w:rPr>
          <w:rFonts w:ascii="Century" w:hAnsi="Century" w:cs="Miriam" w:hint="eastAsia"/>
          <w:b/>
          <w:spacing w:val="0"/>
          <w:szCs w:val="24"/>
          <w:rtl/>
        </w:rPr>
        <w:t>עשרה</w:t>
      </w:r>
      <w:r w:rsidRPr="0013505D">
        <w:rPr>
          <w:rFonts w:ascii="Century" w:hAnsi="Century" w:cs="Miriam"/>
          <w:b/>
          <w:spacing w:val="0"/>
          <w:szCs w:val="24"/>
          <w:rtl/>
        </w:rPr>
        <w:t xml:space="preserve"> </w:t>
      </w:r>
      <w:r w:rsidRPr="0013505D">
        <w:rPr>
          <w:rFonts w:ascii="Century" w:hAnsi="Century" w:cs="Miriam" w:hint="eastAsia"/>
          <w:b/>
          <w:spacing w:val="0"/>
          <w:szCs w:val="24"/>
          <w:rtl/>
        </w:rPr>
        <w:t>נ</w:t>
      </w:r>
      <w:r w:rsidRPr="0013505D">
        <w:rPr>
          <w:rFonts w:ascii="Century" w:hAnsi="Century" w:cs="Miriam"/>
          <w:b/>
          <w:spacing w:val="0"/>
          <w:szCs w:val="24"/>
          <w:rtl/>
        </w:rPr>
        <w:t xml:space="preserve">' </w:t>
      </w:r>
      <w:r w:rsidRPr="0013505D">
        <w:rPr>
          <w:rFonts w:ascii="Century" w:hAnsi="Century" w:cs="Miriam" w:hint="eastAsia"/>
          <w:b/>
          <w:spacing w:val="0"/>
          <w:szCs w:val="24"/>
          <w:rtl/>
        </w:rPr>
        <w:t>זועבי</w:t>
      </w:r>
      <w:r>
        <w:rPr>
          <w:rtl/>
        </w:rPr>
        <w:t>,</w:t>
      </w:r>
      <w:r w:rsidRPr="0013505D">
        <w:rPr>
          <w:rtl/>
        </w:rPr>
        <w:t xml:space="preserve"> </w:t>
      </w:r>
      <w:r w:rsidRPr="0013505D">
        <w:rPr>
          <w:rFonts w:hint="eastAsia"/>
          <w:rtl/>
        </w:rPr>
        <w:t>פיסקה</w:t>
      </w:r>
      <w:r w:rsidRPr="0013505D">
        <w:rPr>
          <w:rtl/>
        </w:rPr>
        <w:t xml:space="preserve"> 7 </w:t>
      </w:r>
      <w:r w:rsidRPr="0013505D">
        <w:rPr>
          <w:rFonts w:hint="eastAsia"/>
          <w:rtl/>
        </w:rPr>
        <w:t>לחוות</w:t>
      </w:r>
      <w:r w:rsidRPr="0013505D">
        <w:rPr>
          <w:rtl/>
        </w:rPr>
        <w:t xml:space="preserve"> </w:t>
      </w:r>
      <w:r>
        <w:rPr>
          <w:rFonts w:hint="eastAsia"/>
          <w:rtl/>
        </w:rPr>
        <w:t>דעת</w:t>
      </w:r>
      <w:r>
        <w:rPr>
          <w:rFonts w:hint="cs"/>
          <w:rtl/>
        </w:rPr>
        <w:t xml:space="preserve">ו של הנשיא </w:t>
      </w:r>
      <w:r w:rsidRPr="005D7ACB">
        <w:rPr>
          <w:rFonts w:ascii="Century" w:hAnsi="Century" w:cs="Miriam" w:hint="cs"/>
          <w:b/>
          <w:spacing w:val="0"/>
          <w:szCs w:val="24"/>
          <w:rtl/>
        </w:rPr>
        <w:t>א' גרוניס</w:t>
      </w:r>
      <w:r w:rsidRPr="005D7ACB">
        <w:rPr>
          <w:rtl/>
        </w:rPr>
        <w:t xml:space="preserve"> </w:t>
      </w:r>
      <w:r>
        <w:rPr>
          <w:rtl/>
        </w:rPr>
        <w:t>(20.8.2013)</w:t>
      </w:r>
      <w:r w:rsidRPr="0013505D">
        <w:rPr>
          <w:rtl/>
        </w:rPr>
        <w:t>).</w:t>
      </w:r>
      <w:r>
        <w:rPr>
          <w:rFonts w:hint="cs"/>
          <w:rtl/>
        </w:rPr>
        <w:t xml:space="preserve"> בהתאם למספר המנדטים שבו זכתה כל מפלגה על פי קולות הבוחרים, נקבע הרכבה של הכנסת. </w:t>
      </w:r>
    </w:p>
    <w:p w:rsidR="00BA3662" w:rsidRDefault="00BA3662" w:rsidP="00BA3662">
      <w:pPr>
        <w:pStyle w:val="Ruller40"/>
        <w:rPr>
          <w:rtl/>
        </w:rPr>
      </w:pPr>
    </w:p>
    <w:p w:rsidR="00BA3662" w:rsidRDefault="00BA3662" w:rsidP="00BA3662">
      <w:pPr>
        <w:pStyle w:val="Ruller40"/>
        <w:rPr>
          <w:rtl/>
        </w:rPr>
      </w:pPr>
      <w:r>
        <w:rPr>
          <w:rFonts w:hint="cs"/>
          <w:rtl/>
        </w:rPr>
        <w:t>7.</w:t>
      </w:r>
      <w:r>
        <w:rPr>
          <w:rFonts w:hint="cs"/>
          <w:rtl/>
        </w:rPr>
        <w:tab/>
        <w:t>שיעור ההצבעה הגבוה במיוחד שנרשם בשלוש מערכות הבחירות האחרונות שנערכו בישראל מעיד יותר מכל על ההכרה הציבורית בחשיבותה של ההשתתפות הפוליטית, בגודל השעה, ובהשפעה שיש לתוצאות הבחירות על האופן שבו תעוצב ותנוהל החברה הישראלית.</w:t>
      </w:r>
    </w:p>
    <w:p w:rsidR="00BA3662" w:rsidRDefault="00BA3662" w:rsidP="00BA3662">
      <w:pPr>
        <w:pStyle w:val="Ruller40"/>
        <w:spacing w:line="240" w:lineRule="auto"/>
        <w:rPr>
          <w:rtl/>
        </w:rPr>
      </w:pPr>
      <w:r>
        <w:rPr>
          <w:rFonts w:hint="cs"/>
          <w:rtl/>
        </w:rPr>
        <w:tab/>
      </w:r>
    </w:p>
    <w:p w:rsidR="00BA3662" w:rsidRDefault="00BA3662" w:rsidP="00BA3662">
      <w:pPr>
        <w:pStyle w:val="Ruller40"/>
        <w:rPr>
          <w:rtl/>
        </w:rPr>
      </w:pPr>
      <w:r>
        <w:rPr>
          <w:rFonts w:hint="cs"/>
          <w:rtl/>
        </w:rPr>
        <w:tab/>
        <w:t>זאת ועוד. בשנה האחרונה נקלעה מדינת ישראל למשבר פוליטי חסר תקדים, שבו שתי מערכות בחירות הסתיימו ללא הכרעה. המפלגות שזכו במרבית קולות הבוחר לא הצליחו להתקשר בהסכמים שיביאו להקמת ממשלה, חרף מגעים שהתנהלו, והדבר הוביל לפיזורה של הכנסת פעם ועוד פעם. התוצאה היא שזה זמן ממושך עומדת בראשות המדינה ממשלה זמנית, צרת סמכויות, באופן שמוביל לשיתוק הולך וגובר של משרדי הממשלה. סבך משטרי זה הוא תמונת ראי של הפילוג הפעור בחברה הישראלית, ויש בו כדי ללמד על עוצמת המאבק האידאולוג</w:t>
      </w:r>
      <w:r>
        <w:rPr>
          <w:rFonts w:hint="eastAsia"/>
          <w:rtl/>
        </w:rPr>
        <w:t>י</w:t>
      </w:r>
      <w:r>
        <w:rPr>
          <w:rFonts w:hint="cs"/>
          <w:rtl/>
        </w:rPr>
        <w:t xml:space="preserve"> המתנהל כמעט בכל חזית אפשרית של החיים הציבוריים </w:t>
      </w:r>
      <w:r>
        <w:rPr>
          <w:rtl/>
        </w:rPr>
        <w:t>–</w:t>
      </w:r>
      <w:r>
        <w:rPr>
          <w:rFonts w:hint="cs"/>
          <w:rtl/>
        </w:rPr>
        <w:t xml:space="preserve"> ובין היתר בזירה החברתית, המדינית והביטחונית. זוהי שעה קשה של קרע ופילוג; ואולם בעניין אחד אין חולק, והוא שהבחירות לכנסת הן הזירה המרכזית שבה יוכרעו המאבקים האידאולוגיים. על רקע האמור מתחדדת חשיבותה של ההגנה על רצון הבוחר, כפי שהוא משתקף בהרכבה של הכנסת ובכינונה של הממשלה.</w:t>
      </w:r>
    </w:p>
    <w:p w:rsidR="00BA3662" w:rsidRDefault="00BA3662" w:rsidP="00BA3662">
      <w:pPr>
        <w:pStyle w:val="Ruller40"/>
        <w:rPr>
          <w:rtl/>
        </w:rPr>
      </w:pPr>
    </w:p>
    <w:p w:rsidR="00BA3662" w:rsidRDefault="00BA3662" w:rsidP="00BA3662">
      <w:pPr>
        <w:pStyle w:val="Ruller40"/>
        <w:rPr>
          <w:rtl/>
        </w:rPr>
      </w:pPr>
      <w:r>
        <w:rPr>
          <w:rFonts w:hint="cs"/>
          <w:rtl/>
        </w:rPr>
        <w:t>8.</w:t>
      </w:r>
      <w:r>
        <w:rPr>
          <w:rFonts w:hint="cs"/>
          <w:rtl/>
        </w:rPr>
        <w:tab/>
        <w:t xml:space="preserve">אין לכחד שהקמת ממשלה בידי מי שתלוי ועומד נגדו כתב אישום חמור אינה מתיישבת עם עקרונות יסוד של </w:t>
      </w:r>
      <w:r w:rsidRPr="00DD1C5E">
        <w:rPr>
          <w:rFonts w:ascii="Century" w:hAnsi="Century" w:hint="cs"/>
          <w:rtl/>
        </w:rPr>
        <w:t xml:space="preserve">הדמוקרטיה הישראלית </w:t>
      </w:r>
      <w:r w:rsidRPr="00DD1C5E">
        <w:rPr>
          <w:rFonts w:ascii="Century" w:hAnsi="Century"/>
          <w:rtl/>
        </w:rPr>
        <w:t>–</w:t>
      </w:r>
      <w:r>
        <w:rPr>
          <w:rFonts w:hint="cs"/>
          <w:rtl/>
        </w:rPr>
        <w:t xml:space="preserve"> ובפרט חובת הנאמנות השלטונית, טוהר המידות בשלטון ואמון הציבור בו. עם זאת, התערבות שיפוטית בבקשתם של רוב חברי הכנסת להטיל את הרכבת הממשלה על חבר כנסת מסוים, טומנת בחובה פגיעה אנושה בעקרון ריבונות הרוב המונח בליבת הדמוקרטיה. פגיעה בעקרון זה מעמידה בסכנה ממשית את הדמוקרטיה עצמה, ועל כן באיזון בין כוחות אלה </w:t>
      </w:r>
      <w:r>
        <w:rPr>
          <w:rtl/>
        </w:rPr>
        <w:t>–</w:t>
      </w:r>
      <w:r>
        <w:rPr>
          <w:rFonts w:hint="cs"/>
          <w:rtl/>
        </w:rPr>
        <w:t xml:space="preserve"> כיבוד רצון הרוב גובר. לא למותר לציין שדין הבוחר אינו גובר על דין המשפט, ואף הכרעת הרוב צריכה להתקבל בתוך מסגרת חוקית; ואולם כפי שכבר הוברר, על פי תנאי הכשירות הסטטוטוריים כתב האישום התלוי ועומד נגד חה</w:t>
      </w:r>
      <w:r>
        <w:rPr>
          <w:rtl/>
        </w:rPr>
        <w:t>"</w:t>
      </w:r>
      <w:r>
        <w:rPr>
          <w:rFonts w:hint="cs"/>
          <w:rtl/>
        </w:rPr>
        <w:t>כ נתניהו אינו מונע ממנו להתמנות לראש ממשלה. במישור אחר, הוא מישור שיקול הדעת, הגם שעומדת לחה</w:t>
      </w:r>
      <w:r>
        <w:rPr>
          <w:rtl/>
        </w:rPr>
        <w:t>"</w:t>
      </w:r>
      <w:r>
        <w:rPr>
          <w:rFonts w:hint="cs"/>
          <w:rtl/>
        </w:rPr>
        <w:t xml:space="preserve">כ נתניהו חזקת החפות, כתב האישום הרובץ על כתפיו הוא שיקול ראשון במעלה שהיה על חברי הכנסת לשקול בבואם לבקש מנשיא המדינה להטיל עליו את מלאכת הרכבת הממשלה. ואולם מששקלו והגיעו להחלטה כפי שהגיעו, ובעשותם כן מימשו את המנדט שניתן להם מאת הבוחר, אין עילה שבדין להתערבותנו בהחלטתם. </w:t>
      </w:r>
    </w:p>
    <w:p w:rsidR="00BA3662" w:rsidRDefault="00BA3662" w:rsidP="00BA3662">
      <w:pPr>
        <w:pStyle w:val="Ruller40"/>
        <w:rPr>
          <w:rtl/>
        </w:rPr>
      </w:pPr>
    </w:p>
    <w:p w:rsidR="00BA3662" w:rsidRDefault="00BA3662" w:rsidP="00BA3662">
      <w:pPr>
        <w:pStyle w:val="Ruller40"/>
        <w:rPr>
          <w:rtl/>
        </w:rPr>
      </w:pPr>
      <w:r>
        <w:rPr>
          <w:rFonts w:hint="cs"/>
          <w:rtl/>
        </w:rPr>
        <w:tab/>
        <w:t xml:space="preserve"> העותרים ואחרים כמותם חשים תסכול מכך שבראש מדינת ישראל עומד מי שתלוי ועומד נגדו כתב אישום חמור. אכן מדובר במצב חריג בנוף הדמוקרטי, יש שיאמרו מסוכן. הגשת העתירות קידמה עד מאוד את הדיון הציבורי המתבקש בנושא </w:t>
      </w:r>
      <w:r>
        <w:rPr>
          <w:rtl/>
        </w:rPr>
        <w:t>–</w:t>
      </w:r>
      <w:r>
        <w:rPr>
          <w:rFonts w:hint="cs"/>
          <w:rtl/>
        </w:rPr>
        <w:t xml:space="preserve"> ואולם הפתרון טמון בקלפי, לא באולם בית המשפט. דחיית העתירות אינה נותנת גושפנקא מוסרית או אחרת להחלטת חברי הכנסת לבקש כי הנשיא יטיל עליו את מלאכת הרכבת הממשלה; מי שקורא את פסק הדין ככזה, יוצק לתוכו תוכן שאין בו. פסק הדין נותן את הבכורה להגנה על רצון הבוחר כתנאי בלתו אין לקיומה של דמוקרטיה בישראל ולאמון הציבור בשיטת הבחירות. וכאן המקום להדגיש את המובן מאליו: כיבוד רצון הרוב אינו מהווה הכשר לעריצות הרוב, ובמשטר דמוקרטי יש להגן מכל משמר אף </w:t>
      </w:r>
      <w:r w:rsidRPr="00CE58B6">
        <w:rPr>
          <w:rFonts w:hint="cs"/>
          <w:rtl/>
        </w:rPr>
        <w:t xml:space="preserve">על עקרונות יסוד של השיטה ועל זכויות אדם, </w:t>
      </w:r>
      <w:r>
        <w:rPr>
          <w:rFonts w:hint="cs"/>
          <w:rtl/>
        </w:rPr>
        <w:t>ובהן</w:t>
      </w:r>
      <w:r w:rsidRPr="00CE58B6">
        <w:rPr>
          <w:rFonts w:hint="cs"/>
          <w:rtl/>
        </w:rPr>
        <w:t xml:space="preserve"> זכויות המיעוט.</w:t>
      </w:r>
      <w:r>
        <w:rPr>
          <w:rFonts w:hint="cs"/>
          <w:rtl/>
        </w:rPr>
        <w:t xml:space="preserve"> אלא שבמוקד ענייננו עומד הליך הבחירות </w:t>
      </w:r>
      <w:r>
        <w:rPr>
          <w:rtl/>
        </w:rPr>
        <w:t>–</w:t>
      </w:r>
      <w:r>
        <w:rPr>
          <w:rFonts w:hint="cs"/>
          <w:rtl/>
        </w:rPr>
        <w:t xml:space="preserve"> שמעצם טיבו וטבעו מוכרע על ידי רצון הרוב. ובנסיבות המקרה שלפנינו, רצון זה בא לידי ביטוי בכך ש-72 חברי כנסת ביקשו מנשיא המדינה להטיל את מלאכת הרכבת הממשלה על חה"כ נתניהו. </w:t>
      </w:r>
    </w:p>
    <w:p w:rsidR="00B12262" w:rsidRDefault="00B12262" w:rsidP="00E90B83">
      <w:pPr>
        <w:pStyle w:val="Ruller40"/>
        <w:rPr>
          <w:rtl/>
        </w:rPr>
      </w:pPr>
    </w:p>
    <w:tbl>
      <w:tblPr>
        <w:bidiVisual/>
        <w:tblW w:w="8363" w:type="dxa"/>
        <w:tblLook w:val="01E0" w:firstRow="1" w:lastRow="1" w:firstColumn="1" w:lastColumn="1" w:noHBand="0" w:noVBand="0"/>
      </w:tblPr>
      <w:tblGrid>
        <w:gridCol w:w="2786"/>
        <w:gridCol w:w="2787"/>
        <w:gridCol w:w="2790"/>
      </w:tblGrid>
      <w:tr w:rsidR="00E90B83" w:rsidRPr="000A1340" w:rsidTr="008835E9">
        <w:tc>
          <w:tcPr>
            <w:tcW w:w="2842" w:type="dxa"/>
            <w:hideMark/>
          </w:tcPr>
          <w:p w:rsidR="00E90B83" w:rsidRPr="000A1340" w:rsidRDefault="00E90B83" w:rsidP="008835E9">
            <w:pPr>
              <w:pStyle w:val="Ruller40"/>
            </w:pPr>
          </w:p>
        </w:tc>
        <w:tc>
          <w:tcPr>
            <w:tcW w:w="2843" w:type="dxa"/>
            <w:hideMark/>
          </w:tcPr>
          <w:p w:rsidR="00E90B83" w:rsidRPr="000A1340" w:rsidRDefault="00E90B83" w:rsidP="008835E9">
            <w:pPr>
              <w:pStyle w:val="Ruller40"/>
              <w:jc w:val="center"/>
              <w:rPr>
                <w:rtl/>
              </w:rPr>
            </w:pPr>
          </w:p>
        </w:tc>
        <w:tc>
          <w:tcPr>
            <w:tcW w:w="2843" w:type="dxa"/>
            <w:hideMark/>
          </w:tcPr>
          <w:p w:rsidR="00E90B83" w:rsidRPr="000A1340" w:rsidRDefault="00E90B83" w:rsidP="008835E9">
            <w:pPr>
              <w:pStyle w:val="Ruller40"/>
              <w:jc w:val="center"/>
              <w:rPr>
                <w:rtl/>
              </w:rPr>
            </w:pPr>
            <w:r w:rsidRPr="000A1340">
              <w:rPr>
                <w:rtl/>
              </w:rPr>
              <w:t xml:space="preserve">ש ו פ ט </w:t>
            </w:r>
            <w:r w:rsidR="00B12262">
              <w:rPr>
                <w:rFonts w:hint="cs"/>
                <w:rtl/>
              </w:rPr>
              <w:t>ת</w:t>
            </w:r>
          </w:p>
        </w:tc>
      </w:tr>
    </w:tbl>
    <w:p w:rsidR="008835E9" w:rsidRDefault="008835E9" w:rsidP="008835E9">
      <w:pPr>
        <w:pStyle w:val="BODYVERDICT"/>
        <w:rPr>
          <w:rtl/>
        </w:rPr>
      </w:pPr>
    </w:p>
    <w:p w:rsidR="00321FCB" w:rsidRDefault="00321FCB" w:rsidP="008835E9">
      <w:pPr>
        <w:pStyle w:val="BODYVERDICT"/>
        <w:rPr>
          <w:rtl/>
        </w:rPr>
      </w:pPr>
    </w:p>
    <w:p w:rsidR="008835E9" w:rsidRDefault="008835E9" w:rsidP="008835E9">
      <w:pPr>
        <w:pStyle w:val="BODYVERDICT"/>
        <w:rPr>
          <w:rFonts w:cs="Miriam"/>
          <w:sz w:val="24"/>
          <w:szCs w:val="24"/>
          <w:u w:val="single"/>
          <w:rtl/>
        </w:rPr>
      </w:pPr>
      <w:r>
        <w:rPr>
          <w:rFonts w:cs="Miriam"/>
          <w:sz w:val="24"/>
          <w:szCs w:val="24"/>
          <w:u w:val="single"/>
          <w:rtl/>
        </w:rPr>
        <w:t>השופט ג' קרא:</w:t>
      </w:r>
    </w:p>
    <w:p w:rsidR="008835E9" w:rsidRPr="00456111" w:rsidRDefault="008835E9" w:rsidP="008835E9">
      <w:pPr>
        <w:pStyle w:val="Ruller40"/>
        <w:rPr>
          <w:rFonts w:ascii="Century" w:hAnsi="Century"/>
          <w:rtl/>
        </w:rPr>
      </w:pPr>
    </w:p>
    <w:p w:rsidR="008835E9" w:rsidRDefault="008835E9" w:rsidP="008835E9">
      <w:pPr>
        <w:pStyle w:val="Ruller40"/>
        <w:rPr>
          <w:rFonts w:ascii="Century" w:hAnsi="Century"/>
          <w:rtl/>
        </w:rPr>
      </w:pPr>
      <w:r>
        <w:rPr>
          <w:rFonts w:ascii="Century" w:hAnsi="Century"/>
          <w:rtl/>
        </w:rPr>
        <w:tab/>
      </w:r>
      <w:r w:rsidRPr="003276EB">
        <w:rPr>
          <w:rFonts w:ascii="Century" w:hAnsi="Century" w:hint="cs"/>
          <w:rtl/>
        </w:rPr>
        <w:t>אני מסכים לתוצאה ולנימוקים</w:t>
      </w:r>
      <w:r>
        <w:rPr>
          <w:rFonts w:ascii="Century" w:hAnsi="Century" w:hint="cs"/>
          <w:rtl/>
        </w:rPr>
        <w:t xml:space="preserve"> של חברתי הנשיאה </w:t>
      </w:r>
      <w:r w:rsidRPr="003276EB">
        <w:rPr>
          <w:rFonts w:ascii="Century" w:hAnsi="Century" w:cs="Miriam" w:hint="cs"/>
          <w:b/>
          <w:spacing w:val="0"/>
          <w:szCs w:val="24"/>
          <w:rtl/>
        </w:rPr>
        <w:t>א' חיות</w:t>
      </w:r>
      <w:r>
        <w:rPr>
          <w:rFonts w:ascii="Century" w:hAnsi="Century" w:hint="cs"/>
          <w:rtl/>
        </w:rPr>
        <w:t xml:space="preserve"> בפסק הדין מיום 6.5.2020. בעניין הטלת מלאכת הרכבת הממשלה על חבר הכנסת בנימין נתניהו, מי שתלוי ועומד נגדו כתב אישום בעבירות חמורות של שוחד, מרמה והפרת אמונים, מצאתי להפנות לדברים שכתב הנשיא </w:t>
      </w:r>
      <w:r w:rsidRPr="00456111">
        <w:rPr>
          <w:rFonts w:ascii="Century" w:hAnsi="Century" w:cs="Miriam" w:hint="cs"/>
          <w:b/>
          <w:spacing w:val="0"/>
          <w:szCs w:val="24"/>
          <w:rtl/>
        </w:rPr>
        <w:t>א' גרוניס</w:t>
      </w:r>
      <w:r>
        <w:rPr>
          <w:rFonts w:ascii="Century" w:hAnsi="Century" w:hint="cs"/>
          <w:rtl/>
        </w:rPr>
        <w:t xml:space="preserve"> בבג"ץ 4921/13 </w:t>
      </w:r>
      <w:r w:rsidRPr="006626E7">
        <w:rPr>
          <w:rFonts w:ascii="Century" w:hAnsi="Century" w:cs="Miriam" w:hint="cs"/>
          <w:b/>
          <w:spacing w:val="0"/>
          <w:szCs w:val="24"/>
          <w:rtl/>
        </w:rPr>
        <w:t>אומ"ץ אזרחים למען מנהל תקין וצד</w:t>
      </w:r>
      <w:r>
        <w:rPr>
          <w:rFonts w:ascii="Century" w:hAnsi="Century" w:cs="Miriam" w:hint="cs"/>
          <w:b/>
          <w:spacing w:val="0"/>
          <w:szCs w:val="24"/>
          <w:rtl/>
        </w:rPr>
        <w:t>ק חברתי נ' ראש עיריית רמת השרון</w:t>
      </w:r>
      <w:r w:rsidRPr="006626E7">
        <w:rPr>
          <w:rFonts w:ascii="Century" w:hAnsi="Century" w:cs="Miriam" w:hint="cs"/>
          <w:b/>
          <w:spacing w:val="0"/>
          <w:szCs w:val="24"/>
          <w:rtl/>
        </w:rPr>
        <w:t xml:space="preserve"> </w:t>
      </w:r>
      <w:r>
        <w:rPr>
          <w:rFonts w:hint="cs"/>
          <w:rtl/>
        </w:rPr>
        <w:t>(14.10.2013)</w:t>
      </w:r>
      <w:r>
        <w:rPr>
          <w:rFonts w:ascii="Century" w:hAnsi="Century" w:hint="cs"/>
          <w:rtl/>
        </w:rPr>
        <w:t>:</w:t>
      </w:r>
    </w:p>
    <w:p w:rsidR="008835E9" w:rsidRDefault="008835E9" w:rsidP="008835E9">
      <w:pPr>
        <w:pStyle w:val="Ruller40"/>
        <w:rPr>
          <w:rFonts w:ascii="Century" w:hAnsi="Century"/>
          <w:rtl/>
        </w:rPr>
      </w:pPr>
    </w:p>
    <w:p w:rsidR="008835E9" w:rsidRDefault="008835E9" w:rsidP="008835E9">
      <w:pPr>
        <w:pStyle w:val="Ruller5"/>
        <w:rPr>
          <w:rFonts w:ascii="Century" w:hAnsi="Century"/>
          <w:rtl/>
        </w:rPr>
      </w:pPr>
      <w:r>
        <w:rPr>
          <w:rFonts w:hint="cs"/>
          <w:rtl/>
        </w:rPr>
        <w:t xml:space="preserve">"אין זה ראוי, כי אדם שמעליו תלוי כתב </w:t>
      </w:r>
      <w:r w:rsidRPr="00CA6DB8">
        <w:rPr>
          <w:rFonts w:hint="cs"/>
          <w:rtl/>
        </w:rPr>
        <w:t>אישום דוגמת אלו שהוגשו במקרים שלפנינו יכהן כראש רשות מקומית. ברם, נוכח</w:t>
      </w:r>
      <w:r>
        <w:rPr>
          <w:rFonts w:hint="cs"/>
          <w:rtl/>
        </w:rPr>
        <w:t xml:space="preserve"> הוראותיו של החוק החרות ולאור סמיכות הבחירות, אין בית המשפט רשאי, לשיטתי, להתערב. בנסיבות העניין, על בית המשפט להסיג דברו בפני הכרעת הבוחר כפי שתובא בגדרן של הבחירות הקרובות. אף אם הבחירה אינה מוצאת חן בעינינו, עלינו לכבדה, כל עוד החוק לא תוקן. מן הראוי שהחוק יתוקן, למשל, כך שייקבע כי ראש רשות מקומית שהוגש נגדו כתב אישום יושעה מתפקידו</w:t>
      </w:r>
      <w:r>
        <w:rPr>
          <w:rFonts w:ascii="Century" w:hAnsi="Century" w:hint="cs"/>
          <w:rtl/>
        </w:rPr>
        <w:t xml:space="preserve"> ..." (שם, בפס' 16).</w:t>
      </w:r>
    </w:p>
    <w:p w:rsidR="008835E9" w:rsidRDefault="008835E9" w:rsidP="008835E9">
      <w:pPr>
        <w:pStyle w:val="Ruller40"/>
        <w:rPr>
          <w:rFonts w:ascii="Century" w:hAnsi="Century"/>
          <w:rtl/>
        </w:rPr>
      </w:pPr>
    </w:p>
    <w:p w:rsidR="008835E9" w:rsidRDefault="008835E9" w:rsidP="008835E9">
      <w:pPr>
        <w:pStyle w:val="Ruller40"/>
        <w:rPr>
          <w:rFonts w:ascii="Century" w:hAnsi="Century"/>
          <w:rtl/>
        </w:rPr>
      </w:pPr>
      <w:r>
        <w:rPr>
          <w:rFonts w:ascii="Century" w:hAnsi="Century"/>
          <w:rtl/>
        </w:rPr>
        <w:tab/>
      </w:r>
      <w:r>
        <w:rPr>
          <w:rFonts w:ascii="Century" w:hAnsi="Century" w:hint="cs"/>
          <w:rtl/>
        </w:rPr>
        <w:t xml:space="preserve">ובהשאלה לענייננו, חבר כנסת שהוגש נגדו כתב אישום בעבירות חמורות על טוהר המידות אינו ראוי מבחינה ציבורית כי יקבל לידיו את המנדט להרכיב ממשלה ולכהן כראש ממשלה, וראוי, מההיבט הציבורי, שלא היה מציב את מועמדותו לתפקיד כלל. "בחברה דמוקרטית נאורה חייב איש ציבור, הנבחר על-ידי העם והזקוק לאמון העם, לקיים רמה מוסרית נאותה בהתנהגותו </w:t>
      </w:r>
      <w:r>
        <w:rPr>
          <w:rFonts w:ascii="Century" w:hAnsi="Century"/>
          <w:rtl/>
        </w:rPr>
        <w:t>–</w:t>
      </w:r>
      <w:r>
        <w:rPr>
          <w:rFonts w:ascii="Century" w:hAnsi="Century" w:hint="cs"/>
          <w:rtl/>
        </w:rPr>
        <w:t xml:space="preserve"> בין הפרטית ובין הציבורית </w:t>
      </w:r>
      <w:r>
        <w:rPr>
          <w:rFonts w:ascii="Century" w:hAnsi="Century"/>
          <w:rtl/>
        </w:rPr>
        <w:t>–</w:t>
      </w:r>
      <w:r>
        <w:rPr>
          <w:rFonts w:ascii="Century" w:hAnsi="Century" w:hint="cs"/>
          <w:rtl/>
        </w:rPr>
        <w:t xml:space="preserve"> על מנת שיוכל להמשיך לכהן במשרתו" (בג"ץ 251/88 </w:t>
      </w:r>
      <w:r>
        <w:rPr>
          <w:rFonts w:ascii="Century" w:hAnsi="Century" w:cs="Miriam" w:hint="cs"/>
          <w:b/>
          <w:spacing w:val="0"/>
          <w:szCs w:val="24"/>
          <w:rtl/>
        </w:rPr>
        <w:t xml:space="preserve">עודה נ' </w:t>
      </w:r>
      <w:r w:rsidRPr="008341C6">
        <w:rPr>
          <w:rFonts w:ascii="Century" w:hAnsi="Century" w:cs="Miriam" w:hint="cs"/>
          <w:b/>
          <w:spacing w:val="0"/>
          <w:szCs w:val="24"/>
          <w:rtl/>
        </w:rPr>
        <w:t>ראש המועצה המקומית ג'לג'וליה</w:t>
      </w:r>
      <w:r>
        <w:rPr>
          <w:rFonts w:ascii="Century" w:hAnsi="Century" w:hint="cs"/>
          <w:rtl/>
        </w:rPr>
        <w:t xml:space="preserve">, פ"ד מב(4) 837, 839 (1988)). דברים אלה שנאמרו במישור הערכי והציבורי עולים בקנה אחד עם הדברים שהוזכרו בפסקה 10 לחוות דעתו של חברי השופט </w:t>
      </w:r>
      <w:r w:rsidRPr="00263400">
        <w:rPr>
          <w:rFonts w:ascii="Century" w:hAnsi="Century" w:cs="Miriam" w:hint="cs"/>
          <w:b/>
          <w:spacing w:val="0"/>
          <w:szCs w:val="24"/>
          <w:rtl/>
        </w:rPr>
        <w:t>י' עמית</w:t>
      </w:r>
      <w:r>
        <w:rPr>
          <w:rFonts w:ascii="Century" w:hAnsi="Century" w:hint="cs"/>
          <w:rtl/>
        </w:rPr>
        <w:t xml:space="preserve"> מפיו של חבר הכנסת נתניהו: "ראש ממשלה ששקוע עד צוואר בחקירות, אין לו מנדט מוסרי וציבורי לקבוע דברים כל כך גורליים למדינת ישראל, כי קיים חשש אמיתי ולא בלתי מבוסס שהוא יכריע הכרעות על בסיס האינטרס האישי של ההישרדות הפוליטית שלו ולא על בסיס האינטרס הלאומי". בבג"ץ 1993/03 </w:t>
      </w:r>
      <w:r w:rsidRPr="00843C2E">
        <w:rPr>
          <w:rFonts w:ascii="Century" w:hAnsi="Century" w:cs="Miriam" w:hint="cs"/>
          <w:b/>
          <w:spacing w:val="0"/>
          <w:szCs w:val="24"/>
          <w:rtl/>
        </w:rPr>
        <w:t>התנועה למען איכות השלטון</w:t>
      </w:r>
      <w:r>
        <w:rPr>
          <w:rFonts w:ascii="Century" w:hAnsi="Century" w:cs="Miriam" w:hint="cs"/>
          <w:b/>
          <w:spacing w:val="0"/>
          <w:szCs w:val="24"/>
          <w:rtl/>
        </w:rPr>
        <w:t xml:space="preserve"> בישראל</w:t>
      </w:r>
      <w:r w:rsidRPr="00843C2E">
        <w:rPr>
          <w:rFonts w:ascii="Century" w:hAnsi="Century" w:cs="Miriam" w:hint="cs"/>
          <w:b/>
          <w:spacing w:val="0"/>
          <w:szCs w:val="24"/>
          <w:rtl/>
        </w:rPr>
        <w:t xml:space="preserve"> נ' ראש הממשלה</w:t>
      </w:r>
      <w:r>
        <w:rPr>
          <w:rFonts w:ascii="Century" w:hAnsi="Century" w:hint="cs"/>
          <w:rtl/>
        </w:rPr>
        <w:t>, פ"ד נז(6) 817, 918-917 (2003)</w:t>
      </w:r>
      <w:r w:rsidRPr="00843C2E">
        <w:rPr>
          <w:rFonts w:ascii="Century" w:hAnsi="Century" w:hint="cs"/>
          <w:rtl/>
        </w:rPr>
        <w:t xml:space="preserve"> </w:t>
      </w:r>
      <w:r>
        <w:rPr>
          <w:rFonts w:ascii="Century" w:hAnsi="Century" w:hint="cs"/>
          <w:rtl/>
        </w:rPr>
        <w:t xml:space="preserve">ובהתייחסו לתרבות השלטונית ובאשר למה יעשה ומה לא יעשה מבחינת נורמת ההתנהגות הראויה, אמר השופט </w:t>
      </w:r>
      <w:r w:rsidRPr="00A61C5F">
        <w:rPr>
          <w:rFonts w:ascii="Century" w:hAnsi="Century" w:cs="Miriam" w:hint="cs"/>
          <w:b/>
          <w:spacing w:val="0"/>
          <w:szCs w:val="24"/>
          <w:rtl/>
        </w:rPr>
        <w:t>מ' חשין</w:t>
      </w:r>
      <w:r>
        <w:rPr>
          <w:rFonts w:ascii="Century" w:hAnsi="Century" w:hint="cs"/>
          <w:rtl/>
        </w:rPr>
        <w:t xml:space="preserve"> את הדברים הבאים:</w:t>
      </w:r>
    </w:p>
    <w:p w:rsidR="008835E9" w:rsidRDefault="008835E9" w:rsidP="008835E9">
      <w:pPr>
        <w:pStyle w:val="Ruller40"/>
        <w:rPr>
          <w:rFonts w:ascii="Century" w:hAnsi="Century"/>
          <w:rtl/>
        </w:rPr>
      </w:pPr>
    </w:p>
    <w:p w:rsidR="008835E9" w:rsidRPr="008B4AD5" w:rsidRDefault="008835E9" w:rsidP="008835E9">
      <w:pPr>
        <w:pStyle w:val="Ruller5"/>
        <w:rPr>
          <w:rtl/>
        </w:rPr>
      </w:pPr>
      <w:r>
        <w:rPr>
          <w:rFonts w:hint="cs"/>
          <w:rtl/>
        </w:rPr>
        <w:t xml:space="preserve">"עומק התערבותו ותחומי התערבותו של בית-המשפט במעשי השלטון ייקבעו על-פי דרכי הנהגתו של השלטון. הנה-כי-כן, שלטון מנַהג דרכיו </w:t>
      </w:r>
      <w:r>
        <w:rPr>
          <w:rtl/>
        </w:rPr>
        <w:t>–</w:t>
      </w:r>
      <w:r>
        <w:rPr>
          <w:rFonts w:hint="cs"/>
          <w:rtl/>
        </w:rPr>
        <w:t xml:space="preserve"> מכל מקום, אמור הוא לנהג דרכיו </w:t>
      </w:r>
      <w:r>
        <w:rPr>
          <w:rtl/>
        </w:rPr>
        <w:t>–</w:t>
      </w:r>
      <w:r>
        <w:rPr>
          <w:rFonts w:hint="cs"/>
          <w:rtl/>
        </w:rPr>
        <w:t xml:space="preserve"> בין השאר, בהישמעו לכלל המורה אותנו: '</w:t>
      </w:r>
      <w:r>
        <w:t>it isn't done</w:t>
      </w:r>
      <w:r>
        <w:rPr>
          <w:rFonts w:hint="cs"/>
          <w:rtl/>
        </w:rPr>
        <w:t>': כך לא ייעשה (או: לא ייעשה כן במקומנו) מושג ה-</w:t>
      </w:r>
      <w:r w:rsidRPr="00D70798">
        <w:t xml:space="preserve"> </w:t>
      </w:r>
      <w:r>
        <w:t>it isn't done</w:t>
      </w:r>
      <w:r>
        <w:rPr>
          <w:rFonts w:hint="cs"/>
          <w:rtl/>
        </w:rPr>
        <w:t xml:space="preserve">מושג הוא השאוב מתחום תרבות השלטון, לא מתחום המשפט. פירושו הוא כי יש מעשים ששלטון לא יעשה באשר מעשים הם אשר לא ייעשו. כך מכתיבות נורמות ההתנהגות הראויה בחברה, והעושה מעשה מאותם מעשים </w:t>
      </w:r>
      <w:r>
        <w:rPr>
          <w:rtl/>
        </w:rPr>
        <w:t>–</w:t>
      </w:r>
      <w:r>
        <w:rPr>
          <w:rFonts w:hint="cs"/>
          <w:rtl/>
        </w:rPr>
        <w:t xml:space="preserve"> מעשה אשר לא ייעשה </w:t>
      </w:r>
      <w:r>
        <w:rPr>
          <w:rtl/>
        </w:rPr>
        <w:t>–</w:t>
      </w:r>
      <w:r>
        <w:rPr>
          <w:rFonts w:hint="cs"/>
          <w:rtl/>
        </w:rPr>
        <w:t xml:space="preserve"> יגוּנֶה. וכך, ככל שתחום ה-</w:t>
      </w:r>
      <w:r>
        <w:t>it isn't done</w:t>
      </w:r>
      <w:r>
        <w:rPr>
          <w:rFonts w:hint="cs"/>
          <w:rtl/>
        </w:rPr>
        <w:t xml:space="preserve"> ירחב וילך, כן ייצר וילך תחום התערבותו של בית-המשפט, ולהפך: אשריה חברה שתרבות ה-</w:t>
      </w:r>
      <w:r w:rsidRPr="008B4AD5">
        <w:t xml:space="preserve"> </w:t>
      </w:r>
      <w:r>
        <w:t>it isn't done</w:t>
      </w:r>
      <w:r>
        <w:rPr>
          <w:rFonts w:hint="cs"/>
          <w:rtl/>
        </w:rPr>
        <w:t>מוטמעת באורחות השלטון שבה. אשריו בית-משפט שלא הוטל עליו להכריע בנושאים שתרבות ה-</w:t>
      </w:r>
      <w:r w:rsidRPr="00A04739">
        <w:t xml:space="preserve"> </w:t>
      </w:r>
      <w:r>
        <w:t>it isn't done</w:t>
      </w:r>
      <w:r>
        <w:rPr>
          <w:rFonts w:hint="cs"/>
          <w:rtl/>
        </w:rPr>
        <w:t xml:space="preserve"> מכריעה בהם, ובעצם הכרעתה מרחיקה היא אותה מחצרו. וד"ל". </w:t>
      </w:r>
    </w:p>
    <w:p w:rsidR="008835E9" w:rsidRDefault="008835E9" w:rsidP="008835E9">
      <w:pPr>
        <w:pStyle w:val="Ruller40"/>
        <w:rPr>
          <w:rFonts w:ascii="Century" w:hAnsi="Century"/>
          <w:rtl/>
        </w:rPr>
      </w:pPr>
    </w:p>
    <w:p w:rsidR="008835E9" w:rsidRDefault="008835E9" w:rsidP="008835E9">
      <w:pPr>
        <w:pStyle w:val="Ruller40"/>
        <w:rPr>
          <w:rFonts w:ascii="Century" w:hAnsi="Century"/>
          <w:rtl/>
        </w:rPr>
      </w:pPr>
      <w:r>
        <w:rPr>
          <w:rFonts w:ascii="Century" w:hAnsi="Century"/>
          <w:rtl/>
        </w:rPr>
        <w:tab/>
      </w:r>
      <w:r>
        <w:rPr>
          <w:rFonts w:ascii="Century" w:hAnsi="Century" w:hint="cs"/>
          <w:rtl/>
        </w:rPr>
        <w:t>משההכרעה הובאה לפתחנו, הכרענו בה הכרעה משפטית וכל אשר קבענו הוא, שאין מניעה משפטית, כי הרכבת הממשלה תוטל על חבר הכנסת נתניהו. הא ותו לא; "דחייתה של עתירה אין בה בהכרח כדי להטביע בה חותם של 'כשרות' במישור הציבורי" (בג"ץ 6728/06</w:t>
      </w:r>
      <w:r>
        <w:rPr>
          <w:rFonts w:ascii="Century" w:hAnsi="Century" w:cs="Miriam" w:hint="cs"/>
          <w:b/>
          <w:spacing w:val="0"/>
          <w:szCs w:val="24"/>
          <w:rtl/>
        </w:rPr>
        <w:t xml:space="preserve"> </w:t>
      </w:r>
      <w:r w:rsidRPr="007C7191">
        <w:rPr>
          <w:rFonts w:ascii="Century" w:hAnsi="Century" w:cs="Miriam" w:hint="cs"/>
          <w:b/>
          <w:spacing w:val="0"/>
          <w:szCs w:val="24"/>
          <w:rtl/>
        </w:rPr>
        <w:t>אומ"ץ אזרחים למען מ</w:t>
      </w:r>
      <w:r>
        <w:rPr>
          <w:rFonts w:ascii="Century" w:hAnsi="Century" w:cs="Miriam" w:hint="cs"/>
          <w:b/>
          <w:spacing w:val="0"/>
          <w:szCs w:val="24"/>
          <w:rtl/>
        </w:rPr>
        <w:t>י</w:t>
      </w:r>
      <w:r w:rsidRPr="007C7191">
        <w:rPr>
          <w:rFonts w:ascii="Century" w:hAnsi="Century" w:cs="Miriam" w:hint="cs"/>
          <w:b/>
          <w:spacing w:val="0"/>
          <w:szCs w:val="24"/>
          <w:rtl/>
        </w:rPr>
        <w:t xml:space="preserve">נהל תקין וצדק חברתי </w:t>
      </w:r>
      <w:r w:rsidRPr="00F40633">
        <w:rPr>
          <w:rFonts w:ascii="Century" w:hAnsi="Century" w:cs="Miriam" w:hint="cs"/>
          <w:b/>
          <w:spacing w:val="0"/>
          <w:szCs w:val="24"/>
          <w:rtl/>
        </w:rPr>
        <w:t xml:space="preserve">נ' ראש </w:t>
      </w:r>
      <w:r>
        <w:rPr>
          <w:rFonts w:ascii="Century" w:hAnsi="Century" w:cs="Miriam" w:hint="cs"/>
          <w:b/>
          <w:spacing w:val="0"/>
          <w:szCs w:val="24"/>
          <w:rtl/>
        </w:rPr>
        <w:t>ה</w:t>
      </w:r>
      <w:r w:rsidRPr="00F40633">
        <w:rPr>
          <w:rFonts w:ascii="Century" w:hAnsi="Century" w:cs="Miriam" w:hint="cs"/>
          <w:b/>
          <w:spacing w:val="0"/>
          <w:szCs w:val="24"/>
          <w:rtl/>
        </w:rPr>
        <w:t>ממשל</w:t>
      </w:r>
      <w:r>
        <w:rPr>
          <w:rFonts w:ascii="Century" w:hAnsi="Century" w:cs="Miriam" w:hint="cs"/>
          <w:b/>
          <w:spacing w:val="0"/>
          <w:szCs w:val="24"/>
          <w:rtl/>
        </w:rPr>
        <w:t>ה</w:t>
      </w:r>
      <w:r w:rsidRPr="00EE64E0">
        <w:rPr>
          <w:rFonts w:ascii="Century" w:hAnsi="Century" w:hint="cs"/>
          <w:rtl/>
        </w:rPr>
        <w:t>,</w:t>
      </w:r>
      <w:r>
        <w:rPr>
          <w:rFonts w:ascii="Century" w:hAnsi="Century" w:cs="Miriam" w:hint="cs"/>
          <w:b/>
          <w:spacing w:val="0"/>
          <w:szCs w:val="24"/>
          <w:rtl/>
        </w:rPr>
        <w:t xml:space="preserve"> </w:t>
      </w:r>
      <w:r w:rsidRPr="00EE64E0">
        <w:rPr>
          <w:rFonts w:ascii="Century" w:hAnsi="Century" w:hint="cs"/>
          <w:rtl/>
        </w:rPr>
        <w:t xml:space="preserve">בפס' 17 לפסק דינו של המשנה לנשיאה </w:t>
      </w:r>
      <w:r>
        <w:rPr>
          <w:rFonts w:ascii="Century" w:hAnsi="Century" w:cs="Miriam" w:hint="cs"/>
          <w:b/>
          <w:spacing w:val="0"/>
          <w:szCs w:val="24"/>
          <w:rtl/>
        </w:rPr>
        <w:t xml:space="preserve">א' ריבלין </w:t>
      </w:r>
      <w:r>
        <w:rPr>
          <w:rFonts w:ascii="Century" w:hAnsi="Century" w:hint="cs"/>
          <w:rtl/>
        </w:rPr>
        <w:t xml:space="preserve">(30.11.2006)). </w:t>
      </w:r>
    </w:p>
    <w:p w:rsidR="00BA3662" w:rsidRDefault="00BA3662" w:rsidP="00E90B83">
      <w:pPr>
        <w:pStyle w:val="Ruller40"/>
        <w:rPr>
          <w:rtl/>
        </w:rPr>
      </w:pPr>
    </w:p>
    <w:tbl>
      <w:tblPr>
        <w:bidiVisual/>
        <w:tblW w:w="8363" w:type="dxa"/>
        <w:tblLook w:val="01E0" w:firstRow="1" w:lastRow="1" w:firstColumn="1" w:lastColumn="1" w:noHBand="0" w:noVBand="0"/>
      </w:tblPr>
      <w:tblGrid>
        <w:gridCol w:w="2786"/>
        <w:gridCol w:w="2787"/>
        <w:gridCol w:w="2790"/>
      </w:tblGrid>
      <w:tr w:rsidR="00E90B83" w:rsidRPr="000A1340" w:rsidTr="008835E9">
        <w:tc>
          <w:tcPr>
            <w:tcW w:w="2842" w:type="dxa"/>
            <w:hideMark/>
          </w:tcPr>
          <w:p w:rsidR="00E90B83" w:rsidRPr="000A1340" w:rsidRDefault="00E90B83" w:rsidP="008835E9">
            <w:pPr>
              <w:pStyle w:val="Ruller40"/>
            </w:pPr>
          </w:p>
        </w:tc>
        <w:tc>
          <w:tcPr>
            <w:tcW w:w="2843" w:type="dxa"/>
            <w:hideMark/>
          </w:tcPr>
          <w:p w:rsidR="00E90B83" w:rsidRPr="000A1340" w:rsidRDefault="00E90B83" w:rsidP="008835E9">
            <w:pPr>
              <w:pStyle w:val="Ruller40"/>
              <w:jc w:val="center"/>
              <w:rPr>
                <w:rtl/>
              </w:rPr>
            </w:pPr>
          </w:p>
        </w:tc>
        <w:tc>
          <w:tcPr>
            <w:tcW w:w="2843" w:type="dxa"/>
            <w:hideMark/>
          </w:tcPr>
          <w:p w:rsidR="00E90B83" w:rsidRPr="000A1340" w:rsidRDefault="00E90B83" w:rsidP="008835E9">
            <w:pPr>
              <w:pStyle w:val="Ruller40"/>
              <w:jc w:val="center"/>
              <w:rPr>
                <w:rtl/>
              </w:rPr>
            </w:pPr>
            <w:r w:rsidRPr="000A1340">
              <w:rPr>
                <w:rtl/>
              </w:rPr>
              <w:t xml:space="preserve">ש ו פ ט </w:t>
            </w:r>
          </w:p>
        </w:tc>
      </w:tr>
    </w:tbl>
    <w:p w:rsidR="00E90B83" w:rsidRDefault="00E90B83" w:rsidP="00E90B83">
      <w:pPr>
        <w:pStyle w:val="Ruller40"/>
        <w:rPr>
          <w:rtl/>
        </w:rPr>
      </w:pPr>
    </w:p>
    <w:p w:rsidR="008835E9" w:rsidRPr="00503A3E" w:rsidRDefault="008835E9" w:rsidP="008835E9">
      <w:pPr>
        <w:pStyle w:val="BODYVERDICT"/>
        <w:rPr>
          <w:rFonts w:cs="Miriam"/>
          <w:sz w:val="24"/>
          <w:szCs w:val="24"/>
          <w:u w:val="single"/>
          <w:rtl/>
        </w:rPr>
      </w:pPr>
      <w:r>
        <w:rPr>
          <w:rFonts w:cs="Miriam"/>
          <w:sz w:val="24"/>
          <w:szCs w:val="24"/>
          <w:u w:val="single"/>
          <w:rtl/>
        </w:rPr>
        <w:t>השופט נ' סולברג</w:t>
      </w:r>
      <w:r w:rsidRPr="00B556E0">
        <w:rPr>
          <w:rFonts w:cs="Miriam"/>
          <w:sz w:val="24"/>
          <w:szCs w:val="24"/>
          <w:rtl/>
        </w:rPr>
        <w:t>:</w:t>
      </w:r>
    </w:p>
    <w:p w:rsidR="008835E9" w:rsidRDefault="008835E9" w:rsidP="008835E9">
      <w:pPr>
        <w:pStyle w:val="Ruller40"/>
        <w:rPr>
          <w:rtl/>
        </w:rPr>
      </w:pPr>
    </w:p>
    <w:p w:rsidR="008835E9" w:rsidRDefault="008835E9" w:rsidP="008835E9">
      <w:pPr>
        <w:pStyle w:val="Ruller40"/>
        <w:rPr>
          <w:rtl/>
        </w:rPr>
      </w:pPr>
      <w:r>
        <w:rPr>
          <w:rFonts w:hint="cs"/>
          <w:rtl/>
        </w:rPr>
        <w:t>1.</w:t>
      </w:r>
      <w:r>
        <w:rPr>
          <w:rtl/>
        </w:rPr>
        <w:tab/>
      </w:r>
      <w:r>
        <w:rPr>
          <w:rFonts w:hint="cs"/>
          <w:rtl/>
        </w:rPr>
        <w:t xml:space="preserve">מסקנותיה של חברתי הנשיאה, </w:t>
      </w:r>
      <w:r w:rsidRPr="00AE13ED">
        <w:rPr>
          <w:rFonts w:ascii="Century" w:hAnsi="Century" w:cs="Miriam" w:hint="cs"/>
          <w:b/>
          <w:spacing w:val="0"/>
          <w:szCs w:val="24"/>
          <w:rtl/>
        </w:rPr>
        <w:t>א' חיות</w:t>
      </w:r>
      <w:r>
        <w:rPr>
          <w:rFonts w:hint="cs"/>
          <w:rtl/>
        </w:rPr>
        <w:t xml:space="preserve"> </w:t>
      </w:r>
      <w:r>
        <w:rPr>
          <w:rtl/>
        </w:rPr>
        <w:t>–</w:t>
      </w:r>
      <w:r>
        <w:rPr>
          <w:rFonts w:hint="cs"/>
          <w:rtl/>
        </w:rPr>
        <w:t xml:space="preserve"> נכונות. דינן של העתירות </w:t>
      </w:r>
      <w:r>
        <w:rPr>
          <w:rtl/>
        </w:rPr>
        <w:t>–</w:t>
      </w:r>
      <w:r>
        <w:rPr>
          <w:rFonts w:hint="cs"/>
          <w:rtl/>
        </w:rPr>
        <w:t xml:space="preserve"> לדחיה; ומשהסכמנו </w:t>
      </w:r>
      <w:r>
        <w:rPr>
          <w:rtl/>
        </w:rPr>
        <w:t>–</w:t>
      </w:r>
      <w:r>
        <w:rPr>
          <w:rFonts w:hint="cs"/>
          <w:rtl/>
        </w:rPr>
        <w:t xml:space="preserve"> </w:t>
      </w:r>
      <w:r w:rsidRPr="009D014A">
        <w:rPr>
          <w:rFonts w:ascii="Century" w:hAnsi="Century" w:hint="cs"/>
          <w:rtl/>
        </w:rPr>
        <w:t>כל</w:t>
      </w:r>
      <w:r w:rsidRPr="009D014A">
        <w:rPr>
          <w:rFonts w:hint="cs"/>
          <w:rtl/>
        </w:rPr>
        <w:t xml:space="preserve"> </w:t>
      </w:r>
      <w:r>
        <w:rPr>
          <w:rFonts w:hint="cs"/>
          <w:rtl/>
        </w:rPr>
        <w:t xml:space="preserve">חברי המותב </w:t>
      </w:r>
      <w:r>
        <w:rPr>
          <w:rtl/>
        </w:rPr>
        <w:t>–</w:t>
      </w:r>
      <w:r>
        <w:rPr>
          <w:rFonts w:hint="cs"/>
          <w:rtl/>
        </w:rPr>
        <w:t xml:space="preserve"> על ה</w:t>
      </w:r>
      <w:r w:rsidRPr="000F6067">
        <w:rPr>
          <w:rFonts w:ascii="Century" w:hAnsi="Century" w:cs="Miriam" w:hint="cs"/>
          <w:b/>
          <w:spacing w:val="0"/>
          <w:szCs w:val="24"/>
          <w:rtl/>
        </w:rPr>
        <w:t>תוצאה</w:t>
      </w:r>
      <w:r>
        <w:rPr>
          <w:rFonts w:hint="cs"/>
          <w:rtl/>
        </w:rPr>
        <w:t>, דיינו בכך וטוב שכך; אינני רואה יתרון בליטוש הנמקות, בחידוד הבדלים, ובהכרזות עתידיות.</w:t>
      </w:r>
    </w:p>
    <w:p w:rsidR="008835E9" w:rsidRDefault="008835E9" w:rsidP="008835E9">
      <w:pPr>
        <w:pStyle w:val="Ruller40"/>
        <w:spacing w:line="240" w:lineRule="auto"/>
        <w:rPr>
          <w:rtl/>
        </w:rPr>
      </w:pPr>
    </w:p>
    <w:p w:rsidR="008835E9" w:rsidRDefault="008835E9" w:rsidP="008835E9">
      <w:pPr>
        <w:pStyle w:val="Ruller40"/>
        <w:rPr>
          <w:rtl/>
        </w:rPr>
      </w:pPr>
      <w:r>
        <w:rPr>
          <w:rFonts w:hint="cs"/>
          <w:rtl/>
        </w:rPr>
        <w:t>2.</w:t>
      </w:r>
      <w:r>
        <w:rPr>
          <w:rtl/>
        </w:rPr>
        <w:tab/>
      </w:r>
      <w:r>
        <w:rPr>
          <w:rFonts w:hint="cs"/>
          <w:rtl/>
        </w:rPr>
        <w:t xml:space="preserve">על רקע השאלה המעיקה שבמוקד </w:t>
      </w:r>
      <w:r>
        <w:rPr>
          <w:rtl/>
        </w:rPr>
        <w:t>–</w:t>
      </w:r>
      <w:r>
        <w:rPr>
          <w:rFonts w:hint="cs"/>
          <w:rtl/>
        </w:rPr>
        <w:t xml:space="preserve"> האם ניתן להטיל את מלאכת הרכבת הממשלה על חבר כנסת שתלוי ועומד נגדו כתב אישום בעבירות על טוהר המידות </w:t>
      </w:r>
      <w:r>
        <w:rPr>
          <w:rtl/>
        </w:rPr>
        <w:t>–</w:t>
      </w:r>
      <w:r>
        <w:rPr>
          <w:rFonts w:hint="cs"/>
          <w:rtl/>
        </w:rPr>
        <w:t xml:space="preserve"> אסתפק </w:t>
      </w:r>
      <w:r w:rsidRPr="008A6C80">
        <w:rPr>
          <w:rFonts w:ascii="Century" w:hAnsi="Century" w:hint="cs"/>
          <w:rtl/>
        </w:rPr>
        <w:t>ב</w:t>
      </w:r>
      <w:r w:rsidRPr="008A6C80">
        <w:rPr>
          <w:rFonts w:ascii="Century" w:hAnsi="Century" w:cs="Miriam" w:hint="cs"/>
          <w:b/>
          <w:spacing w:val="0"/>
          <w:szCs w:val="24"/>
          <w:rtl/>
        </w:rPr>
        <w:t>הערה</w:t>
      </w:r>
      <w:r w:rsidRPr="008A6C80">
        <w:rPr>
          <w:rFonts w:hint="cs"/>
          <w:rtl/>
        </w:rPr>
        <w:t xml:space="preserve"> </w:t>
      </w:r>
      <w:r>
        <w:rPr>
          <w:rFonts w:hint="cs"/>
          <w:rtl/>
        </w:rPr>
        <w:t xml:space="preserve">על התווך שבין פורמליזם למהות, בין האות הכתובה, דברוֹ של המחוקק עלֵי ספר החוקים; לבין ערכי-יסוד נעלים, יושר, צדק ואמת. </w:t>
      </w:r>
    </w:p>
    <w:p w:rsidR="008835E9" w:rsidRDefault="008835E9" w:rsidP="008835E9">
      <w:pPr>
        <w:pStyle w:val="Ruller40"/>
        <w:spacing w:line="240" w:lineRule="auto"/>
        <w:rPr>
          <w:rtl/>
        </w:rPr>
      </w:pPr>
    </w:p>
    <w:p w:rsidR="008835E9" w:rsidRDefault="008835E9" w:rsidP="008835E9">
      <w:pPr>
        <w:pStyle w:val="Ruller40"/>
        <w:rPr>
          <w:rtl/>
        </w:rPr>
      </w:pPr>
      <w:r>
        <w:rPr>
          <w:rFonts w:hint="cs"/>
          <w:rtl/>
        </w:rPr>
        <w:t>3.</w:t>
      </w:r>
      <w:r>
        <w:rPr>
          <w:rtl/>
        </w:rPr>
        <w:tab/>
      </w:r>
      <w:r>
        <w:rPr>
          <w:rFonts w:hint="cs"/>
          <w:rtl/>
        </w:rPr>
        <w:t>רבות נכתב על פשר הכפילות "</w:t>
      </w:r>
      <w:r w:rsidRPr="001356E7">
        <w:rPr>
          <w:rFonts w:ascii="Century" w:hAnsi="Century" w:cs="Miriam" w:hint="cs"/>
          <w:b/>
          <w:spacing w:val="0"/>
          <w:szCs w:val="24"/>
          <w:rtl/>
        </w:rPr>
        <w:t>צדק צדק תרדוף</w:t>
      </w:r>
      <w:r>
        <w:rPr>
          <w:rFonts w:hint="cs"/>
          <w:rtl/>
        </w:rPr>
        <w:t xml:space="preserve">" (דברים טז, כ). בהתבסס על פירושו של הרמב"ן, אמר הגרי"ד סולוביצ'יק זצ"ל (כך שמעתי מפי נכדו, הרב משה ליכטנשטיין), שיש </w:t>
      </w:r>
      <w:r w:rsidRPr="00AE13ED">
        <w:rPr>
          <w:rFonts w:ascii="Century" w:hAnsi="Century" w:cs="Miriam" w:hint="cs"/>
          <w:b/>
          <w:spacing w:val="0"/>
          <w:szCs w:val="24"/>
          <w:rtl/>
        </w:rPr>
        <w:t>צדק</w:t>
      </w:r>
      <w:r>
        <w:rPr>
          <w:rFonts w:hint="cs"/>
          <w:rtl/>
        </w:rPr>
        <w:t xml:space="preserve"> מוחלט, טהור, שמיימי; ויש </w:t>
      </w:r>
      <w:r w:rsidRPr="00AE13ED">
        <w:rPr>
          <w:rFonts w:ascii="Century" w:hAnsi="Century" w:cs="Miriam" w:hint="cs"/>
          <w:b/>
          <w:spacing w:val="0"/>
          <w:szCs w:val="24"/>
          <w:rtl/>
        </w:rPr>
        <w:t>צדק</w:t>
      </w:r>
      <w:r>
        <w:rPr>
          <w:rFonts w:hint="cs"/>
          <w:rtl/>
        </w:rPr>
        <w:t xml:space="preserve"> ארצי, אנושי. הצדק הראשון זורח בטהרתו, אינו מתחשב באילוצי שעת-דחק, חולשות אנושיות, פוליטיקה, כלכלה וחברה; זהו צדק מושלם. הצדק השני מוגבל באילוצי המציאות החומרית, במגע עם העולם האנושי, ושלל צרכי גוף ונפש של היצור קצר-הימים ושבע-הרוגז; הצדק האנושי אנוּס להסתפק בפחות.</w:t>
      </w:r>
    </w:p>
    <w:p w:rsidR="008835E9" w:rsidRDefault="008835E9" w:rsidP="008835E9">
      <w:pPr>
        <w:pStyle w:val="Ruller40"/>
        <w:spacing w:line="240" w:lineRule="auto"/>
        <w:rPr>
          <w:rtl/>
        </w:rPr>
      </w:pPr>
    </w:p>
    <w:p w:rsidR="008835E9" w:rsidRDefault="008835E9" w:rsidP="008835E9">
      <w:pPr>
        <w:pStyle w:val="Ruller40"/>
        <w:rPr>
          <w:rtl/>
        </w:rPr>
      </w:pPr>
      <w:r>
        <w:rPr>
          <w:rFonts w:hint="cs"/>
          <w:rtl/>
        </w:rPr>
        <w:t>4.</w:t>
      </w:r>
      <w:r>
        <w:rPr>
          <w:rtl/>
        </w:rPr>
        <w:tab/>
      </w:r>
      <w:r>
        <w:rPr>
          <w:rFonts w:hint="cs"/>
          <w:rtl/>
        </w:rPr>
        <w:t xml:space="preserve">הויכוח העז והייצרי בין "הליכוד" לבין "כחול לבן", עד אשר התכנסו הסיעות הללו לכדי הסכם קואליציוני </w:t>
      </w:r>
      <w:r>
        <w:rPr>
          <w:rtl/>
        </w:rPr>
        <w:t>–</w:t>
      </w:r>
      <w:r>
        <w:rPr>
          <w:rFonts w:hint="cs"/>
          <w:rtl/>
        </w:rPr>
        <w:t xml:space="preserve"> יוכיח: אידֵאת המשפט בטהרתו נמצאת במרומים; המשפט האנושי נמצא עלֵי-ארץ. השקפת העולם האידיאולוגית-הפוליטית הקוטבית, חִייבה פשרה על מנת להגשים את מאוויי בוחרי המפלגות הללו כמידת האפשר; אם לא כן </w:t>
      </w:r>
      <w:r>
        <w:rPr>
          <w:rtl/>
        </w:rPr>
        <w:t>–</w:t>
      </w:r>
      <w:r>
        <w:rPr>
          <w:rFonts w:hint="cs"/>
          <w:rtl/>
        </w:rPr>
        <w:t xml:space="preserve"> מבוי סתום. ובמחלוקת המפלגת את הציבור בישראל כלפי ראש הממשלה, קוראים הללו "</w:t>
      </w:r>
      <w:r w:rsidRPr="00076715">
        <w:rPr>
          <w:rFonts w:ascii="Century" w:hAnsi="Century" w:cs="Miriam" w:hint="eastAsia"/>
          <w:b/>
          <w:spacing w:val="0"/>
          <w:szCs w:val="24"/>
          <w:rtl/>
        </w:rPr>
        <w:t>הוי</w:t>
      </w:r>
      <w:r w:rsidRPr="00076715">
        <w:rPr>
          <w:rFonts w:ascii="Century" w:hAnsi="Century" w:cs="Miriam"/>
          <w:b/>
          <w:spacing w:val="0"/>
          <w:szCs w:val="24"/>
          <w:rtl/>
        </w:rPr>
        <w:t xml:space="preserve"> </w:t>
      </w:r>
      <w:r w:rsidRPr="00076715">
        <w:rPr>
          <w:rFonts w:ascii="Century" w:hAnsi="Century" w:cs="Miriam" w:hint="eastAsia"/>
          <w:b/>
          <w:spacing w:val="0"/>
          <w:szCs w:val="24"/>
          <w:rtl/>
        </w:rPr>
        <w:t>דן</w:t>
      </w:r>
      <w:r w:rsidRPr="00076715">
        <w:rPr>
          <w:rFonts w:ascii="Century" w:hAnsi="Century" w:cs="Miriam"/>
          <w:b/>
          <w:spacing w:val="0"/>
          <w:szCs w:val="24"/>
          <w:rtl/>
        </w:rPr>
        <w:t xml:space="preserve"> </w:t>
      </w:r>
      <w:r w:rsidRPr="00076715">
        <w:rPr>
          <w:rFonts w:ascii="Century" w:hAnsi="Century" w:cs="Miriam" w:hint="eastAsia"/>
          <w:b/>
          <w:spacing w:val="0"/>
          <w:szCs w:val="24"/>
          <w:rtl/>
        </w:rPr>
        <w:t>את</w:t>
      </w:r>
      <w:r w:rsidRPr="00076715">
        <w:rPr>
          <w:rFonts w:ascii="Century" w:hAnsi="Century" w:cs="Miriam"/>
          <w:b/>
          <w:spacing w:val="0"/>
          <w:szCs w:val="24"/>
          <w:rtl/>
        </w:rPr>
        <w:t xml:space="preserve"> </w:t>
      </w:r>
      <w:r w:rsidRPr="00076715">
        <w:rPr>
          <w:rFonts w:ascii="Century" w:hAnsi="Century" w:cs="Miriam" w:hint="eastAsia"/>
          <w:b/>
          <w:spacing w:val="0"/>
          <w:szCs w:val="24"/>
          <w:rtl/>
        </w:rPr>
        <w:t>כל</w:t>
      </w:r>
      <w:r w:rsidRPr="00076715">
        <w:rPr>
          <w:rFonts w:ascii="Century" w:hAnsi="Century" w:cs="Miriam"/>
          <w:b/>
          <w:spacing w:val="0"/>
          <w:szCs w:val="24"/>
          <w:rtl/>
        </w:rPr>
        <w:t xml:space="preserve"> </w:t>
      </w:r>
      <w:r w:rsidRPr="00076715">
        <w:rPr>
          <w:rFonts w:ascii="Century" w:hAnsi="Century" w:cs="Miriam" w:hint="eastAsia"/>
          <w:b/>
          <w:spacing w:val="0"/>
          <w:szCs w:val="24"/>
          <w:rtl/>
        </w:rPr>
        <w:t>האדם</w:t>
      </w:r>
      <w:r w:rsidRPr="00076715">
        <w:rPr>
          <w:rFonts w:ascii="Century" w:hAnsi="Century" w:cs="Miriam"/>
          <w:b/>
          <w:spacing w:val="0"/>
          <w:szCs w:val="24"/>
          <w:rtl/>
        </w:rPr>
        <w:t xml:space="preserve"> </w:t>
      </w:r>
      <w:r w:rsidRPr="00076715">
        <w:rPr>
          <w:rFonts w:ascii="Century" w:hAnsi="Century" w:cs="Miriam" w:hint="eastAsia"/>
          <w:b/>
          <w:spacing w:val="0"/>
          <w:szCs w:val="24"/>
          <w:rtl/>
        </w:rPr>
        <w:t>לכף</w:t>
      </w:r>
      <w:r w:rsidRPr="00076715">
        <w:rPr>
          <w:rFonts w:ascii="Century" w:hAnsi="Century" w:cs="Miriam"/>
          <w:b/>
          <w:spacing w:val="0"/>
          <w:szCs w:val="24"/>
          <w:rtl/>
        </w:rPr>
        <w:t xml:space="preserve"> </w:t>
      </w:r>
      <w:r w:rsidRPr="00076715">
        <w:rPr>
          <w:rFonts w:ascii="Century" w:hAnsi="Century" w:cs="Miriam" w:hint="eastAsia"/>
          <w:b/>
          <w:spacing w:val="0"/>
          <w:szCs w:val="24"/>
          <w:rtl/>
        </w:rPr>
        <w:t>זכות</w:t>
      </w:r>
      <w:r>
        <w:rPr>
          <w:rFonts w:hint="cs"/>
          <w:rtl/>
        </w:rPr>
        <w:t>", ו"</w:t>
      </w:r>
      <w:r w:rsidRPr="00076715">
        <w:rPr>
          <w:rFonts w:ascii="Century" w:hAnsi="Century" w:cs="Miriam" w:hint="eastAsia"/>
          <w:b/>
          <w:spacing w:val="0"/>
          <w:szCs w:val="24"/>
          <w:rtl/>
        </w:rPr>
        <w:t>בצדק</w:t>
      </w:r>
      <w:r w:rsidRPr="00076715">
        <w:rPr>
          <w:rFonts w:ascii="Century" w:hAnsi="Century" w:cs="Miriam"/>
          <w:b/>
          <w:spacing w:val="0"/>
          <w:szCs w:val="24"/>
          <w:rtl/>
        </w:rPr>
        <w:t xml:space="preserve"> </w:t>
      </w:r>
      <w:r w:rsidRPr="00076715">
        <w:rPr>
          <w:rFonts w:ascii="Century" w:hAnsi="Century" w:cs="Miriam" w:hint="eastAsia"/>
          <w:b/>
          <w:spacing w:val="0"/>
          <w:szCs w:val="24"/>
          <w:rtl/>
        </w:rPr>
        <w:t>תשפוט</w:t>
      </w:r>
      <w:r w:rsidRPr="00076715">
        <w:rPr>
          <w:rFonts w:ascii="Century" w:hAnsi="Century" w:cs="Miriam"/>
          <w:b/>
          <w:spacing w:val="0"/>
          <w:szCs w:val="24"/>
          <w:rtl/>
        </w:rPr>
        <w:t xml:space="preserve"> </w:t>
      </w:r>
      <w:r w:rsidRPr="00076715">
        <w:rPr>
          <w:rFonts w:ascii="Century" w:hAnsi="Century" w:cs="Miriam" w:hint="eastAsia"/>
          <w:b/>
          <w:spacing w:val="0"/>
          <w:szCs w:val="24"/>
          <w:rtl/>
        </w:rPr>
        <w:t>עמיתך</w:t>
      </w:r>
      <w:r>
        <w:rPr>
          <w:rFonts w:hint="cs"/>
          <w:rtl/>
        </w:rPr>
        <w:t>"; והללו קוראים לעומתם "</w:t>
      </w:r>
      <w:r>
        <w:rPr>
          <w:rFonts w:ascii="Century" w:hAnsi="Century" w:cs="Miriam" w:hint="eastAsia"/>
          <w:b/>
          <w:spacing w:val="0"/>
          <w:szCs w:val="24"/>
          <w:rtl/>
        </w:rPr>
        <w:t>ה</w:t>
      </w:r>
      <w:r w:rsidRPr="00076715">
        <w:rPr>
          <w:rFonts w:ascii="Century" w:hAnsi="Century" w:cs="Miriam" w:hint="eastAsia"/>
          <w:b/>
          <w:spacing w:val="0"/>
          <w:szCs w:val="24"/>
          <w:rtl/>
        </w:rPr>
        <w:t>רחק</w:t>
      </w:r>
      <w:r w:rsidRPr="00076715">
        <w:rPr>
          <w:rFonts w:ascii="Century" w:hAnsi="Century" w:cs="Miriam"/>
          <w:b/>
          <w:spacing w:val="0"/>
          <w:szCs w:val="24"/>
          <w:rtl/>
        </w:rPr>
        <w:t xml:space="preserve"> </w:t>
      </w:r>
      <w:r w:rsidRPr="00076715">
        <w:rPr>
          <w:rFonts w:ascii="Century" w:hAnsi="Century" w:cs="Miriam" w:hint="eastAsia"/>
          <w:b/>
          <w:spacing w:val="0"/>
          <w:szCs w:val="24"/>
          <w:rtl/>
        </w:rPr>
        <w:t>מן</w:t>
      </w:r>
      <w:r w:rsidRPr="00076715">
        <w:rPr>
          <w:rFonts w:ascii="Century" w:hAnsi="Century" w:cs="Miriam"/>
          <w:b/>
          <w:spacing w:val="0"/>
          <w:szCs w:val="24"/>
          <w:rtl/>
        </w:rPr>
        <w:t xml:space="preserve"> </w:t>
      </w:r>
      <w:r w:rsidRPr="00076715">
        <w:rPr>
          <w:rFonts w:ascii="Century" w:hAnsi="Century" w:cs="Miriam" w:hint="eastAsia"/>
          <w:b/>
          <w:spacing w:val="0"/>
          <w:szCs w:val="24"/>
          <w:rtl/>
        </w:rPr>
        <w:t>הכיעור</w:t>
      </w:r>
      <w:r w:rsidRPr="00076715">
        <w:rPr>
          <w:rFonts w:ascii="Century" w:hAnsi="Century" w:cs="Miriam"/>
          <w:b/>
          <w:spacing w:val="0"/>
          <w:szCs w:val="24"/>
          <w:rtl/>
        </w:rPr>
        <w:t xml:space="preserve"> </w:t>
      </w:r>
      <w:r w:rsidRPr="00076715">
        <w:rPr>
          <w:rFonts w:ascii="Century" w:hAnsi="Century" w:cs="Miriam" w:hint="eastAsia"/>
          <w:b/>
          <w:spacing w:val="0"/>
          <w:szCs w:val="24"/>
          <w:rtl/>
        </w:rPr>
        <w:t>ומן</w:t>
      </w:r>
      <w:r w:rsidRPr="00076715">
        <w:rPr>
          <w:rFonts w:ascii="Century" w:hAnsi="Century" w:cs="Miriam"/>
          <w:b/>
          <w:spacing w:val="0"/>
          <w:szCs w:val="24"/>
          <w:rtl/>
        </w:rPr>
        <w:t xml:space="preserve"> </w:t>
      </w:r>
      <w:r w:rsidRPr="00076715">
        <w:rPr>
          <w:rFonts w:ascii="Century" w:hAnsi="Century" w:cs="Miriam" w:hint="eastAsia"/>
          <w:b/>
          <w:spacing w:val="0"/>
          <w:szCs w:val="24"/>
          <w:rtl/>
        </w:rPr>
        <w:t>הדומה</w:t>
      </w:r>
      <w:r w:rsidRPr="00076715">
        <w:rPr>
          <w:rFonts w:ascii="Century" w:hAnsi="Century" w:cs="Miriam"/>
          <w:b/>
          <w:spacing w:val="0"/>
          <w:szCs w:val="24"/>
          <w:rtl/>
        </w:rPr>
        <w:t xml:space="preserve"> </w:t>
      </w:r>
      <w:r w:rsidRPr="00076715">
        <w:rPr>
          <w:rFonts w:ascii="Century" w:hAnsi="Century" w:cs="Miriam" w:hint="eastAsia"/>
          <w:b/>
          <w:spacing w:val="0"/>
          <w:szCs w:val="24"/>
          <w:rtl/>
        </w:rPr>
        <w:t>לו</w:t>
      </w:r>
      <w:r>
        <w:rPr>
          <w:rFonts w:hint="cs"/>
          <w:rtl/>
        </w:rPr>
        <w:t>", "</w:t>
      </w:r>
      <w:r w:rsidRPr="00076715">
        <w:rPr>
          <w:rFonts w:ascii="Century" w:hAnsi="Century" w:cs="Miriam" w:hint="eastAsia"/>
          <w:b/>
          <w:spacing w:val="0"/>
          <w:szCs w:val="24"/>
          <w:rtl/>
        </w:rPr>
        <w:t>והייתם</w:t>
      </w:r>
      <w:r w:rsidRPr="00076715">
        <w:rPr>
          <w:rFonts w:ascii="Century" w:hAnsi="Century" w:cs="Miriam"/>
          <w:b/>
          <w:spacing w:val="0"/>
          <w:szCs w:val="24"/>
          <w:rtl/>
        </w:rPr>
        <w:t xml:space="preserve"> </w:t>
      </w:r>
      <w:r w:rsidRPr="00076715">
        <w:rPr>
          <w:rFonts w:ascii="Century" w:hAnsi="Century" w:cs="Miriam" w:hint="eastAsia"/>
          <w:b/>
          <w:spacing w:val="0"/>
          <w:szCs w:val="24"/>
          <w:rtl/>
        </w:rPr>
        <w:t>נקיים</w:t>
      </w:r>
      <w:r w:rsidRPr="00076715">
        <w:rPr>
          <w:rFonts w:ascii="Century" w:hAnsi="Century" w:cs="Miriam"/>
          <w:b/>
          <w:spacing w:val="0"/>
          <w:szCs w:val="24"/>
          <w:rtl/>
        </w:rPr>
        <w:t xml:space="preserve"> </w:t>
      </w:r>
      <w:r w:rsidRPr="00076715">
        <w:rPr>
          <w:rFonts w:ascii="Century" w:hAnsi="Century" w:cs="Miriam" w:hint="eastAsia"/>
          <w:b/>
          <w:spacing w:val="0"/>
          <w:szCs w:val="24"/>
          <w:rtl/>
        </w:rPr>
        <w:t>מה</w:t>
      </w:r>
      <w:r w:rsidRPr="00076715">
        <w:rPr>
          <w:rFonts w:ascii="Century" w:hAnsi="Century" w:cs="Miriam"/>
          <w:b/>
          <w:spacing w:val="0"/>
          <w:szCs w:val="24"/>
          <w:rtl/>
        </w:rPr>
        <w:t xml:space="preserve">' </w:t>
      </w:r>
      <w:r w:rsidRPr="00076715">
        <w:rPr>
          <w:rFonts w:ascii="Century" w:hAnsi="Century" w:cs="Miriam" w:hint="eastAsia"/>
          <w:b/>
          <w:spacing w:val="0"/>
          <w:szCs w:val="24"/>
          <w:rtl/>
        </w:rPr>
        <w:t>ומישראל</w:t>
      </w:r>
      <w:r>
        <w:rPr>
          <w:rFonts w:hint="cs"/>
          <w:rtl/>
        </w:rPr>
        <w:t xml:space="preserve">". בדבר הזה </w:t>
      </w:r>
      <w:r>
        <w:rPr>
          <w:rtl/>
        </w:rPr>
        <w:t>–</w:t>
      </w:r>
      <w:r>
        <w:rPr>
          <w:rFonts w:hint="cs"/>
          <w:rtl/>
        </w:rPr>
        <w:t xml:space="preserve"> כפי שהראתה חברתי הנשיאה </w:t>
      </w:r>
      <w:r>
        <w:rPr>
          <w:rtl/>
        </w:rPr>
        <w:t>–</w:t>
      </w:r>
      <w:r>
        <w:rPr>
          <w:rFonts w:hint="cs"/>
          <w:rtl/>
        </w:rPr>
        <w:t xml:space="preserve"> הדין במדינת ישראל אינו מונע את הטלת תפקיד הרכבת הממשלה על ח"כ נתניהו, אשר רבים חפצים ביקרו ומרוצים בשלטונו, חרף עננה של חשדות אשר אופפת את התנהלותו; ובכורח הנסיבות התרגש עלינו אף תקדים מיוחד: שני מלכים המשמשים בכתר אחד. </w:t>
      </w:r>
    </w:p>
    <w:p w:rsidR="008835E9" w:rsidRDefault="008835E9" w:rsidP="008835E9">
      <w:pPr>
        <w:pStyle w:val="Ruller40"/>
        <w:rPr>
          <w:rtl/>
        </w:rPr>
      </w:pPr>
    </w:p>
    <w:p w:rsidR="008835E9" w:rsidRPr="00DE689A" w:rsidRDefault="008835E9" w:rsidP="008835E9">
      <w:pPr>
        <w:pStyle w:val="Ruller40"/>
        <w:rPr>
          <w:rFonts w:ascii="Century" w:hAnsi="Century" w:cs="Miriam"/>
          <w:b/>
          <w:spacing w:val="0"/>
          <w:szCs w:val="24"/>
          <w:rtl/>
        </w:rPr>
      </w:pPr>
      <w:r w:rsidRPr="00486584">
        <w:rPr>
          <w:rFonts w:ascii="Century" w:hAnsi="Century" w:hint="cs"/>
          <w:rtl/>
        </w:rPr>
        <w:t>5.</w:t>
      </w:r>
      <w:r>
        <w:rPr>
          <w:rFonts w:ascii="Century" w:hAnsi="Century" w:cs="Miriam"/>
          <w:b/>
          <w:spacing w:val="0"/>
          <w:szCs w:val="24"/>
          <w:rtl/>
        </w:rPr>
        <w:tab/>
      </w:r>
      <w:r>
        <w:rPr>
          <w:rFonts w:ascii="Century" w:hAnsi="Century" w:cs="Miriam" w:hint="cs"/>
          <w:b/>
          <w:spacing w:val="0"/>
          <w:szCs w:val="24"/>
          <w:rtl/>
        </w:rPr>
        <w:t>"</w:t>
      </w:r>
      <w:r w:rsidRPr="00AE13ED">
        <w:rPr>
          <w:rFonts w:ascii="Century" w:hAnsi="Century" w:cs="Miriam" w:hint="cs"/>
          <w:b/>
          <w:spacing w:val="0"/>
          <w:szCs w:val="24"/>
          <w:rtl/>
        </w:rPr>
        <w:t>אָמַר רַבִּי סִימוֹן</w:t>
      </w:r>
      <w:r>
        <w:rPr>
          <w:rFonts w:ascii="Century" w:hAnsi="Century" w:cs="Miriam" w:hint="cs"/>
          <w:b/>
          <w:spacing w:val="0"/>
          <w:szCs w:val="24"/>
          <w:rtl/>
        </w:rPr>
        <w:t>:</w:t>
      </w:r>
      <w:r w:rsidRPr="00AE13ED">
        <w:rPr>
          <w:rFonts w:ascii="Century" w:hAnsi="Century" w:cs="Miriam" w:hint="cs"/>
          <w:b/>
          <w:spacing w:val="0"/>
          <w:szCs w:val="24"/>
          <w:rtl/>
        </w:rPr>
        <w:t xml:space="preserve"> בְּשָׁעָה שֶׁבָּא הַקָּדוֹשׁ בָּרוּךְ הוּא לִבְרֹאת אֶת אָדָם הָרִאשׁוֹן, נַעֲשׂוּ מַלְאֲכֵי הַשָּׁרֵת כִּתִּים כִּתִּים, וַחֲבוּרוֹת חֲבוּרוֹת</w:t>
      </w:r>
      <w:r>
        <w:rPr>
          <w:rFonts w:ascii="Century" w:hAnsi="Century" w:cs="Miriam" w:hint="cs"/>
          <w:b/>
          <w:spacing w:val="0"/>
          <w:szCs w:val="24"/>
          <w:rtl/>
        </w:rPr>
        <w:t>.</w:t>
      </w:r>
      <w:r w:rsidRPr="00AE13ED">
        <w:rPr>
          <w:rFonts w:ascii="Century" w:hAnsi="Century" w:cs="Miriam" w:hint="cs"/>
          <w:b/>
          <w:spacing w:val="0"/>
          <w:szCs w:val="24"/>
          <w:rtl/>
        </w:rPr>
        <w:t xml:space="preserve"> מֵהֶם אוֹמְרִים אַל יִבָּרֵא, וּמֵהֶם אוֹמְרִים יִבָּרֵא, הֲדָא הוּא דִכְתִיב</w:t>
      </w:r>
      <w:r w:rsidRPr="00AE13ED">
        <w:rPr>
          <w:rFonts w:ascii="Century" w:hAnsi="Century" w:cs="Miriam" w:hint="cs"/>
          <w:b/>
          <w:spacing w:val="0"/>
          <w:szCs w:val="24"/>
        </w:rPr>
        <w:t xml:space="preserve"> </w:t>
      </w:r>
      <w:hyperlink r:id="rId8" w:history="1">
        <w:r>
          <w:rPr>
            <w:rFonts w:ascii="Century" w:hAnsi="Century" w:cs="Miriam" w:hint="cs"/>
            <w:b/>
            <w:spacing w:val="0"/>
            <w:szCs w:val="24"/>
            <w:rtl/>
          </w:rPr>
          <w:t>(ת</w:t>
        </w:r>
        <w:r w:rsidRPr="00AE13ED">
          <w:rPr>
            <w:rFonts w:ascii="Century" w:hAnsi="Century" w:cs="Miriam" w:hint="cs"/>
            <w:b/>
            <w:spacing w:val="0"/>
            <w:szCs w:val="24"/>
            <w:rtl/>
          </w:rPr>
          <w:t>הלים פה, י</w:t>
        </w:r>
        <w:r>
          <w:rPr>
            <w:rFonts w:ascii="Century" w:hAnsi="Century" w:cs="Miriam" w:hint="cs"/>
            <w:b/>
            <w:spacing w:val="0"/>
            <w:szCs w:val="24"/>
            <w:rtl/>
          </w:rPr>
          <w:t>א):</w:t>
        </w:r>
      </w:hyperlink>
      <w:r>
        <w:rPr>
          <w:rFonts w:ascii="Century" w:hAnsi="Century" w:cs="Miriam" w:hint="cs"/>
          <w:b/>
          <w:spacing w:val="0"/>
          <w:szCs w:val="24"/>
          <w:rtl/>
        </w:rPr>
        <w:t xml:space="preserve"> '</w:t>
      </w:r>
      <w:r w:rsidRPr="00AE13ED">
        <w:rPr>
          <w:rFonts w:ascii="Century" w:hAnsi="Century" w:cs="Miriam" w:hint="cs"/>
          <w:b/>
          <w:spacing w:val="0"/>
          <w:szCs w:val="24"/>
          <w:rtl/>
        </w:rPr>
        <w:t>חֶסֶד וֶאֱמֶת נִפְגָּשׁוּ צֶדֶק וְשָׁלוֹם נָשָׁקוּ</w:t>
      </w:r>
      <w:r>
        <w:rPr>
          <w:rFonts w:ascii="Century" w:hAnsi="Century" w:cs="Miriam" w:hint="cs"/>
          <w:b/>
          <w:spacing w:val="0"/>
          <w:szCs w:val="24"/>
          <w:rtl/>
        </w:rPr>
        <w:t>'</w:t>
      </w:r>
      <w:r w:rsidRPr="00AE13ED">
        <w:rPr>
          <w:rFonts w:ascii="Century" w:hAnsi="Century" w:cs="Miriam" w:hint="cs"/>
          <w:b/>
          <w:spacing w:val="0"/>
          <w:szCs w:val="24"/>
          <w:rtl/>
        </w:rPr>
        <w:t>. חֶסֶד אוֹמֵר יִבָּרֵא, שֶׁהוּא גּוֹמֵל חֲסָדִים. וֶאֱמֶת אוֹמֵר אַל יִבָּרֵא, שֶׁכֻּלּוֹ שְׁקָרִים. צֶדֶק אוֹמֵר יִבָּרֵא, שֶׁהוּא עוֹשֶׂה צְדָקוֹת. שָׁלוֹם אוֹמֵר אַל יִבָּרֵא, דְּכוּלֵיהּ קְטָטָה. מֶה עָשָׂה הַקָּדוֹשׁ בָּרוּךְ הוּא</w:t>
      </w:r>
      <w:r>
        <w:rPr>
          <w:rFonts w:ascii="Century" w:hAnsi="Century" w:cs="Miriam" w:hint="cs"/>
          <w:b/>
          <w:spacing w:val="0"/>
          <w:szCs w:val="24"/>
          <w:rtl/>
        </w:rPr>
        <w:t>?</w:t>
      </w:r>
      <w:r w:rsidRPr="00AE13ED">
        <w:rPr>
          <w:rFonts w:ascii="Century" w:hAnsi="Century" w:cs="Miriam" w:hint="cs"/>
          <w:b/>
          <w:spacing w:val="0"/>
          <w:szCs w:val="24"/>
          <w:rtl/>
        </w:rPr>
        <w:t xml:space="preserve"> נָטַל אֱמֶת וְהִשְׁלִיכוֹ לָאָרֶץ, הֲדָא הוּא דִכְתִיב</w:t>
      </w:r>
      <w:r w:rsidRPr="00AE13ED">
        <w:rPr>
          <w:rFonts w:ascii="Century" w:hAnsi="Century" w:cs="Miriam" w:hint="cs"/>
          <w:b/>
          <w:spacing w:val="0"/>
          <w:szCs w:val="24"/>
        </w:rPr>
        <w:t xml:space="preserve"> </w:t>
      </w:r>
      <w:hyperlink r:id="rId9" w:history="1">
        <w:r>
          <w:rPr>
            <w:rFonts w:ascii="Century" w:hAnsi="Century" w:cs="Miriam" w:hint="cs"/>
            <w:b/>
            <w:spacing w:val="0"/>
            <w:szCs w:val="24"/>
            <w:rtl/>
          </w:rPr>
          <w:t>(ד</w:t>
        </w:r>
        <w:r w:rsidRPr="00AE13ED">
          <w:rPr>
            <w:rFonts w:ascii="Century" w:hAnsi="Century" w:cs="Miriam" w:hint="cs"/>
            <w:b/>
            <w:spacing w:val="0"/>
            <w:szCs w:val="24"/>
            <w:rtl/>
          </w:rPr>
          <w:t>ניאל ח, י</w:t>
        </w:r>
        <w:r>
          <w:rPr>
            <w:rFonts w:ascii="Century" w:hAnsi="Century" w:cs="Miriam" w:hint="cs"/>
            <w:b/>
            <w:spacing w:val="0"/>
            <w:szCs w:val="24"/>
            <w:rtl/>
          </w:rPr>
          <w:t>ב):</w:t>
        </w:r>
      </w:hyperlink>
      <w:r>
        <w:rPr>
          <w:rFonts w:ascii="Century" w:hAnsi="Century" w:cs="Miriam" w:hint="cs"/>
          <w:b/>
          <w:spacing w:val="0"/>
          <w:szCs w:val="24"/>
          <w:rtl/>
        </w:rPr>
        <w:t>'</w:t>
      </w:r>
      <w:r w:rsidRPr="00AE13ED">
        <w:rPr>
          <w:rFonts w:ascii="Century" w:hAnsi="Century" w:cs="Miriam" w:hint="cs"/>
          <w:b/>
          <w:spacing w:val="0"/>
          <w:szCs w:val="24"/>
        </w:rPr>
        <w:t xml:space="preserve"> </w:t>
      </w:r>
      <w:r w:rsidRPr="00AE13ED">
        <w:rPr>
          <w:rFonts w:ascii="Century" w:hAnsi="Century" w:cs="Miriam" w:hint="cs"/>
          <w:b/>
          <w:spacing w:val="0"/>
          <w:szCs w:val="24"/>
          <w:rtl/>
        </w:rPr>
        <w:t>וְתַשְׁלֵךְ אֱמֶת אַרְצָה</w:t>
      </w:r>
      <w:r>
        <w:rPr>
          <w:rFonts w:ascii="Century" w:hAnsi="Century" w:cs="Miriam" w:hint="cs"/>
          <w:b/>
          <w:spacing w:val="0"/>
          <w:szCs w:val="24"/>
          <w:rtl/>
        </w:rPr>
        <w:t>'.</w:t>
      </w:r>
      <w:r w:rsidRPr="00AE13ED">
        <w:rPr>
          <w:rFonts w:ascii="Century" w:hAnsi="Century" w:cs="Miriam" w:hint="cs"/>
          <w:b/>
          <w:spacing w:val="0"/>
          <w:szCs w:val="24"/>
          <w:rtl/>
        </w:rPr>
        <w:t xml:space="preserve"> אָמְרוּ</w:t>
      </w:r>
      <w:r w:rsidRPr="00AE13ED">
        <w:rPr>
          <w:rFonts w:ascii="Century" w:hAnsi="Century" w:cs="Miriam" w:hint="cs"/>
          <w:b/>
          <w:spacing w:val="0"/>
          <w:szCs w:val="24"/>
        </w:rPr>
        <w:t xml:space="preserve"> </w:t>
      </w:r>
      <w:r w:rsidRPr="00AE13ED">
        <w:rPr>
          <w:rFonts w:ascii="Century" w:hAnsi="Century" w:cs="Miriam" w:hint="cs"/>
          <w:b/>
          <w:spacing w:val="0"/>
          <w:szCs w:val="24"/>
          <w:rtl/>
        </w:rPr>
        <w:t>מַלְאֲכֵי הַשָּׁרֵת לִפְנֵי הַקָּדוֹשׁ בָּרוּךְ הוּא, רִבּוֹן הָעוֹלָמִים מָה אַתָּה מְבַזֶּה תַּכְסִיס אַלְטִיכְסְיָה שֶׁלָּךְ, תַּעֲלֶה אֱמֶת מִן הָאָרֶץ, הֲדָא הוּא דִכְתִיב</w:t>
      </w:r>
      <w:r w:rsidRPr="00AE13ED">
        <w:rPr>
          <w:rFonts w:ascii="Century" w:hAnsi="Century" w:cs="Miriam" w:hint="cs"/>
          <w:b/>
          <w:spacing w:val="0"/>
          <w:szCs w:val="24"/>
        </w:rPr>
        <w:t xml:space="preserve"> </w:t>
      </w:r>
      <w:hyperlink r:id="rId10" w:history="1">
        <w:r>
          <w:rPr>
            <w:rFonts w:ascii="Century" w:hAnsi="Century" w:cs="Miriam" w:hint="cs"/>
            <w:b/>
            <w:spacing w:val="0"/>
            <w:szCs w:val="24"/>
            <w:rtl/>
          </w:rPr>
          <w:t>(ת</w:t>
        </w:r>
        <w:r w:rsidRPr="00AE13ED">
          <w:rPr>
            <w:rFonts w:ascii="Century" w:hAnsi="Century" w:cs="Miriam" w:hint="cs"/>
            <w:b/>
            <w:spacing w:val="0"/>
            <w:szCs w:val="24"/>
            <w:rtl/>
          </w:rPr>
          <w:t>הלים פה, י</w:t>
        </w:r>
        <w:r>
          <w:rPr>
            <w:rFonts w:ascii="Century" w:hAnsi="Century" w:cs="Miriam" w:hint="cs"/>
            <w:b/>
            <w:spacing w:val="0"/>
            <w:szCs w:val="24"/>
            <w:rtl/>
          </w:rPr>
          <w:t>ב):</w:t>
        </w:r>
      </w:hyperlink>
      <w:r w:rsidRPr="00AE13ED">
        <w:rPr>
          <w:rFonts w:ascii="Century" w:hAnsi="Century" w:cs="Miriam" w:hint="cs"/>
          <w:b/>
          <w:spacing w:val="0"/>
          <w:szCs w:val="24"/>
        </w:rPr>
        <w:t xml:space="preserve"> </w:t>
      </w:r>
      <w:r>
        <w:rPr>
          <w:rFonts w:ascii="Century" w:hAnsi="Century" w:cs="Miriam" w:hint="cs"/>
          <w:b/>
          <w:spacing w:val="0"/>
          <w:szCs w:val="24"/>
          <w:rtl/>
        </w:rPr>
        <w:t>'</w:t>
      </w:r>
      <w:r w:rsidRPr="00AE13ED">
        <w:rPr>
          <w:rFonts w:ascii="Century" w:hAnsi="Century" w:cs="Miriam" w:hint="cs"/>
          <w:b/>
          <w:spacing w:val="0"/>
          <w:szCs w:val="24"/>
          <w:rtl/>
        </w:rPr>
        <w:t>אֱמֶת מֵאֶרֶץ תִּצְמָח</w:t>
      </w:r>
      <w:r>
        <w:rPr>
          <w:rFonts w:ascii="Century" w:hAnsi="Century" w:cs="Miriam" w:hint="cs"/>
          <w:b/>
          <w:spacing w:val="0"/>
          <w:szCs w:val="24"/>
          <w:rtl/>
        </w:rPr>
        <w:t>'"</w:t>
      </w:r>
      <w:r>
        <w:rPr>
          <w:rFonts w:ascii="Century" w:hAnsi="Century" w:cs="Miriam"/>
          <w:b/>
          <w:spacing w:val="0"/>
          <w:szCs w:val="24"/>
        </w:rPr>
        <w:t xml:space="preserve"> </w:t>
      </w:r>
      <w:r w:rsidRPr="00C3623B">
        <w:rPr>
          <w:rFonts w:hint="cs"/>
          <w:rtl/>
        </w:rPr>
        <w:t>(בראשית רבה ח, ה</w:t>
      </w:r>
      <w:r>
        <w:rPr>
          <w:rFonts w:hint="cs"/>
          <w:rtl/>
        </w:rPr>
        <w:t xml:space="preserve">; לדיון על המדרש הזה, על כוח הצמיחה הטבעי של האמת האנושית, ראו בספרו של אבי-מורי: שאול סולברג </w:t>
      </w:r>
      <w:r>
        <w:rPr>
          <w:rFonts w:ascii="Century" w:hAnsi="Century" w:cs="Miriam" w:hint="cs"/>
          <w:b/>
          <w:spacing w:val="0"/>
          <w:szCs w:val="24"/>
          <w:rtl/>
        </w:rPr>
        <w:t xml:space="preserve">בין מדרש לפסיכולוגיה </w:t>
      </w:r>
      <w:r>
        <w:rPr>
          <w:rFonts w:ascii="Century" w:hAnsi="Century" w:hint="cs"/>
          <w:rtl/>
        </w:rPr>
        <w:t>34-31 (תשע"ו-2016)</w:t>
      </w:r>
      <w:r w:rsidRPr="00C3623B">
        <w:rPr>
          <w:rFonts w:hint="cs"/>
          <w:rtl/>
        </w:rPr>
        <w:t>).</w:t>
      </w:r>
      <w:r>
        <w:rPr>
          <w:rFonts w:ascii="Century" w:hAnsi="Century" w:cs="Miriam" w:hint="cs"/>
          <w:b/>
          <w:spacing w:val="0"/>
          <w:szCs w:val="24"/>
          <w:rtl/>
        </w:rPr>
        <w:t xml:space="preserve"> </w:t>
      </w:r>
    </w:p>
    <w:p w:rsidR="008835E9" w:rsidRDefault="008835E9" w:rsidP="008835E9">
      <w:pPr>
        <w:pStyle w:val="Ruller40"/>
        <w:rPr>
          <w:rFonts w:ascii="Century" w:hAnsi="Century" w:cs="Miriam"/>
          <w:b/>
          <w:spacing w:val="0"/>
          <w:szCs w:val="24"/>
          <w:rtl/>
        </w:rPr>
      </w:pPr>
      <w:r>
        <w:rPr>
          <w:rFonts w:ascii="Century" w:hAnsi="Century" w:cs="Miriam"/>
          <w:b/>
          <w:spacing w:val="0"/>
          <w:szCs w:val="24"/>
          <w:rtl/>
        </w:rPr>
        <w:tab/>
      </w:r>
    </w:p>
    <w:p w:rsidR="008835E9" w:rsidRDefault="008835E9" w:rsidP="008835E9">
      <w:pPr>
        <w:pStyle w:val="Ruller40"/>
        <w:rPr>
          <w:rtl/>
        </w:rPr>
      </w:pPr>
      <w:r>
        <w:rPr>
          <w:rFonts w:hint="cs"/>
          <w:rtl/>
        </w:rPr>
        <w:t>6.</w:t>
      </w:r>
      <w:r>
        <w:rPr>
          <w:rtl/>
        </w:rPr>
        <w:tab/>
      </w:r>
      <w:r>
        <w:rPr>
          <w:rFonts w:hint="cs"/>
          <w:rtl/>
        </w:rPr>
        <w:t xml:space="preserve">האמת השמיימית מציבה סטנדרט אבסולוטי שהאדם אינו עומד בו; החברה האנושית אינה מסוגלת לכלכל את דרכיה לפיו. איננו מלאכי-השרת. האמת הצומחת מן הארץ </w:t>
      </w:r>
      <w:r>
        <w:rPr>
          <w:rtl/>
        </w:rPr>
        <w:t>–</w:t>
      </w:r>
      <w:r>
        <w:rPr>
          <w:rFonts w:hint="cs"/>
          <w:rtl/>
        </w:rPr>
        <w:t xml:space="preserve"> אינה מושלמת. היא מבטאת את מידת האמת, אך זאת תוך התחשבות במציאות האנושית המתקיימת כאן, על הארץ, במגבלות הכרוכות בכך </w:t>
      </w:r>
      <w:r>
        <w:rPr>
          <w:rtl/>
        </w:rPr>
        <w:t>–</w:t>
      </w:r>
      <w:r>
        <w:rPr>
          <w:rFonts w:hint="cs"/>
          <w:rtl/>
        </w:rPr>
        <w:t xml:space="preserve"> כלכלה ופוליטיקה, חברה ומשפט, ושאר אילוצי העולם הזה. חברה ללא צדק ויושר, היא חברה מושחתת; חברה ללא צדק ומשפט, מידרדרת אלֵי אנרכיה ופשע. לכן, הצדק מציל חברה זו. אך צדק אבסולוטי שאינו מתפשר, עלול לרסק את החברה מפני האמת הבלתי-גמישה. הדין בישראל, חקיקת-הכנסת, מתווים לנו את תוצאת פסק-הדין. הצדק המתחשב במציאות הארצית, והאמת הצומחת מן הארץ </w:t>
      </w:r>
      <w:r>
        <w:rPr>
          <w:rtl/>
        </w:rPr>
        <w:t>–</w:t>
      </w:r>
      <w:r>
        <w:rPr>
          <w:rFonts w:hint="cs"/>
          <w:rtl/>
        </w:rPr>
        <w:t xml:space="preserve"> הם ערכי האמת והצדק שעל-פיהם אנו פוסקים. </w:t>
      </w:r>
    </w:p>
    <w:p w:rsidR="008835E9" w:rsidRDefault="008835E9" w:rsidP="00E90B83">
      <w:pPr>
        <w:pStyle w:val="Ruller40"/>
        <w:rPr>
          <w:rtl/>
        </w:rPr>
      </w:pPr>
    </w:p>
    <w:tbl>
      <w:tblPr>
        <w:bidiVisual/>
        <w:tblW w:w="8363" w:type="dxa"/>
        <w:tblLook w:val="01E0" w:firstRow="1" w:lastRow="1" w:firstColumn="1" w:lastColumn="1" w:noHBand="0" w:noVBand="0"/>
      </w:tblPr>
      <w:tblGrid>
        <w:gridCol w:w="2786"/>
        <w:gridCol w:w="2787"/>
        <w:gridCol w:w="2790"/>
      </w:tblGrid>
      <w:tr w:rsidR="00E90B83" w:rsidRPr="000A1340" w:rsidTr="008835E9">
        <w:tc>
          <w:tcPr>
            <w:tcW w:w="2786" w:type="dxa"/>
            <w:hideMark/>
          </w:tcPr>
          <w:p w:rsidR="00E90B83" w:rsidRPr="000A1340" w:rsidRDefault="00E90B83" w:rsidP="008835E9">
            <w:pPr>
              <w:pStyle w:val="Ruller40"/>
            </w:pPr>
          </w:p>
        </w:tc>
        <w:tc>
          <w:tcPr>
            <w:tcW w:w="2787" w:type="dxa"/>
            <w:hideMark/>
          </w:tcPr>
          <w:p w:rsidR="00E90B83" w:rsidRPr="000A1340" w:rsidRDefault="00E90B83" w:rsidP="008835E9">
            <w:pPr>
              <w:pStyle w:val="Ruller40"/>
              <w:jc w:val="center"/>
              <w:rPr>
                <w:rtl/>
              </w:rPr>
            </w:pPr>
          </w:p>
        </w:tc>
        <w:tc>
          <w:tcPr>
            <w:tcW w:w="2790" w:type="dxa"/>
            <w:hideMark/>
          </w:tcPr>
          <w:p w:rsidR="00E90B83" w:rsidRPr="000A1340" w:rsidRDefault="00E90B83" w:rsidP="008835E9">
            <w:pPr>
              <w:pStyle w:val="Ruller40"/>
              <w:jc w:val="center"/>
              <w:rPr>
                <w:rtl/>
              </w:rPr>
            </w:pPr>
            <w:r w:rsidRPr="000A1340">
              <w:rPr>
                <w:rtl/>
              </w:rPr>
              <w:t xml:space="preserve">ש ו פ ט </w:t>
            </w:r>
          </w:p>
        </w:tc>
      </w:tr>
    </w:tbl>
    <w:p w:rsidR="00E90B83" w:rsidRDefault="00E90B83" w:rsidP="008835E9">
      <w:pPr>
        <w:pStyle w:val="Ruller40"/>
        <w:rPr>
          <w:rtl/>
        </w:rPr>
      </w:pPr>
    </w:p>
    <w:p w:rsidR="008835E9" w:rsidRDefault="008835E9" w:rsidP="008835E9">
      <w:pPr>
        <w:pStyle w:val="BODYVERDICT"/>
        <w:rPr>
          <w:rFonts w:cs="Miriam"/>
          <w:sz w:val="24"/>
          <w:szCs w:val="24"/>
          <w:u w:val="single"/>
          <w:rtl/>
        </w:rPr>
      </w:pPr>
      <w:r>
        <w:rPr>
          <w:rFonts w:cs="Miriam"/>
          <w:sz w:val="24"/>
          <w:szCs w:val="24"/>
          <w:u w:val="single"/>
          <w:rtl/>
        </w:rPr>
        <w:t>המשנה לנשיאה ח' מלצר:</w:t>
      </w:r>
    </w:p>
    <w:p w:rsidR="008835E9" w:rsidRDefault="008835E9" w:rsidP="008835E9">
      <w:pPr>
        <w:pStyle w:val="BODYVERDICT"/>
        <w:rPr>
          <w:rFonts w:cs="Miriam"/>
          <w:sz w:val="24"/>
          <w:szCs w:val="24"/>
          <w:u w:val="single"/>
          <w:rtl/>
        </w:rPr>
      </w:pPr>
    </w:p>
    <w:p w:rsidR="008835E9" w:rsidRDefault="008835E9" w:rsidP="008835E9">
      <w:pPr>
        <w:pStyle w:val="BODYVERDICT"/>
        <w:rPr>
          <w:rFonts w:cs="Miriam"/>
          <w:sz w:val="24"/>
          <w:szCs w:val="24"/>
          <w:u w:val="single"/>
          <w:rtl/>
        </w:rPr>
      </w:pPr>
    </w:p>
    <w:p w:rsidR="008835E9" w:rsidRDefault="008835E9" w:rsidP="008835E9">
      <w:pPr>
        <w:pStyle w:val="Ruller40"/>
        <w:numPr>
          <w:ilvl w:val="0"/>
          <w:numId w:val="13"/>
        </w:numPr>
        <w:rPr>
          <w:rtl/>
        </w:rPr>
      </w:pPr>
      <w:r>
        <w:rPr>
          <w:rFonts w:hint="cs"/>
          <w:rtl/>
        </w:rPr>
        <w:t xml:space="preserve">אני מצטרף בהסכמה לתוצאה ולטעמים שהובאו ע"י חברתי, הנשיאה </w:t>
      </w:r>
      <w:r w:rsidRPr="00712BDB">
        <w:rPr>
          <w:rFonts w:ascii="Century" w:hAnsi="Century" w:cs="Miriam" w:hint="cs"/>
          <w:b/>
          <w:spacing w:val="0"/>
          <w:szCs w:val="24"/>
          <w:rtl/>
        </w:rPr>
        <w:t xml:space="preserve">א' חיות </w:t>
      </w:r>
      <w:r>
        <w:rPr>
          <w:rFonts w:hint="cs"/>
          <w:rtl/>
        </w:rPr>
        <w:t xml:space="preserve">בפסק דינה (תמצית נימוקים) מתאריך 06.05.2020, שהוא בבחינת: מעט המחזיק את המרובה, והכל בו. </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בינתיים הגיעו לידי גם חוות הדעת של חברותי וחברי ונוכח חשיבות הדברים, ובשים לב לכך שבנושאים אחדים יש לי תובנות והדגשים משלי </w:t>
      </w:r>
      <w:r>
        <w:rPr>
          <w:rtl/>
        </w:rPr>
        <w:t>–</w:t>
      </w:r>
      <w:r>
        <w:rPr>
          <w:rFonts w:hint="cs"/>
          <w:rtl/>
        </w:rPr>
        <w:t xml:space="preserve"> אפרוס להלן את עמדתי. </w:t>
      </w:r>
    </w:p>
    <w:p w:rsidR="008835E9" w:rsidRDefault="008835E9" w:rsidP="008835E9">
      <w:pPr>
        <w:pStyle w:val="Ruller40"/>
        <w:rPr>
          <w:rtl/>
        </w:rPr>
      </w:pPr>
    </w:p>
    <w:p w:rsidR="008835E9" w:rsidRDefault="008835E9" w:rsidP="008835E9">
      <w:pPr>
        <w:pStyle w:val="Ruller40"/>
        <w:numPr>
          <w:ilvl w:val="0"/>
          <w:numId w:val="13"/>
        </w:numPr>
      </w:pPr>
      <w:r>
        <w:rPr>
          <w:rFonts w:hint="cs"/>
          <w:rtl/>
        </w:rPr>
        <w:t>התשובה לשאלה האם ניתן להטיל את מלאכת הרכבת הממשלה מכח סעיף 10 ל</w:t>
      </w:r>
      <w:r w:rsidRPr="00604E2D">
        <w:rPr>
          <w:rFonts w:ascii="Century" w:hAnsi="Century" w:cs="Miriam" w:hint="cs"/>
          <w:b/>
          <w:spacing w:val="0"/>
          <w:szCs w:val="24"/>
          <w:rtl/>
        </w:rPr>
        <w:t xml:space="preserve">חוק-יסוד: הממשלה </w:t>
      </w:r>
      <w:r>
        <w:rPr>
          <w:rFonts w:hint="cs"/>
          <w:rtl/>
        </w:rPr>
        <w:t xml:space="preserve">על חבר הכנסת, אשר הוגש נגדו כתב אישום המייחס לו עבירות של: שוחד, מרמה והפרת אמונים </w:t>
      </w:r>
      <w:r>
        <w:rPr>
          <w:rtl/>
        </w:rPr>
        <w:t>–</w:t>
      </w:r>
      <w:r>
        <w:rPr>
          <w:rFonts w:hint="cs"/>
          <w:rtl/>
        </w:rPr>
        <w:t xml:space="preserve"> נגזרת, לדעתי, </w:t>
      </w:r>
      <w:r w:rsidRPr="0024639E">
        <w:rPr>
          <w:rFonts w:ascii="Century" w:hAnsi="Century" w:hint="cs"/>
          <w:b/>
          <w:bCs/>
          <w:rtl/>
        </w:rPr>
        <w:t>מהשוני</w:t>
      </w:r>
      <w:r w:rsidRPr="0024639E">
        <w:rPr>
          <w:rFonts w:hint="cs"/>
          <w:rtl/>
        </w:rPr>
        <w:t xml:space="preserve"> </w:t>
      </w:r>
      <w:r>
        <w:rPr>
          <w:rFonts w:hint="cs"/>
          <w:rtl/>
        </w:rPr>
        <w:t>שבין סעיף 10 הנ"ל לבין האמור בסעיפים 7 ו-9 ל</w:t>
      </w:r>
      <w:r w:rsidRPr="00604E2D">
        <w:rPr>
          <w:rFonts w:ascii="Century" w:hAnsi="Century" w:cs="Miriam" w:hint="cs"/>
          <w:b/>
          <w:spacing w:val="0"/>
          <w:szCs w:val="24"/>
          <w:rtl/>
        </w:rPr>
        <w:t>חוק-יסוד: הממשלה</w:t>
      </w:r>
      <w:r>
        <w:rPr>
          <w:rFonts w:hint="cs"/>
          <w:rtl/>
        </w:rPr>
        <w:t>. עתה אפרט.</w:t>
      </w:r>
    </w:p>
    <w:p w:rsidR="008835E9" w:rsidRDefault="008835E9" w:rsidP="008835E9">
      <w:pPr>
        <w:pStyle w:val="Ruller40"/>
      </w:pPr>
    </w:p>
    <w:p w:rsidR="008835E9" w:rsidRDefault="008835E9" w:rsidP="008835E9">
      <w:pPr>
        <w:pStyle w:val="Ruller40"/>
        <w:numPr>
          <w:ilvl w:val="0"/>
          <w:numId w:val="13"/>
        </w:numPr>
        <w:rPr>
          <w:rtl/>
        </w:rPr>
      </w:pPr>
      <w:r>
        <w:rPr>
          <w:rFonts w:hint="cs"/>
          <w:rtl/>
        </w:rPr>
        <w:t>סעיף 7(א) ל</w:t>
      </w:r>
      <w:r w:rsidRPr="00712BDB">
        <w:rPr>
          <w:rFonts w:ascii="Century" w:hAnsi="Century" w:cs="Miriam" w:hint="cs"/>
          <w:b/>
          <w:spacing w:val="0"/>
          <w:szCs w:val="24"/>
          <w:rtl/>
        </w:rPr>
        <w:t xml:space="preserve">חוק-יסוד: הממשלה </w:t>
      </w:r>
      <w:r>
        <w:rPr>
          <w:rFonts w:hint="cs"/>
          <w:rtl/>
        </w:rPr>
        <w:t>קובע כדלקמן:</w:t>
      </w:r>
    </w:p>
    <w:p w:rsidR="008835E9" w:rsidRDefault="008835E9" w:rsidP="008835E9">
      <w:pPr>
        <w:pStyle w:val="Ruller40"/>
        <w:rPr>
          <w:rtl/>
        </w:rPr>
      </w:pPr>
    </w:p>
    <w:p w:rsidR="008835E9" w:rsidRDefault="008835E9" w:rsidP="008835E9">
      <w:pPr>
        <w:pStyle w:val="Ruller5"/>
        <w:rPr>
          <w:sz w:val="28"/>
          <w:rtl/>
        </w:rPr>
      </w:pPr>
      <w:r w:rsidRPr="006F654C">
        <w:rPr>
          <w:rFonts w:hint="cs"/>
          <w:sz w:val="28"/>
          <w:rtl/>
        </w:rPr>
        <w:t>"</w:t>
      </w:r>
      <w:r w:rsidRPr="006F654C">
        <w:rPr>
          <w:rStyle w:val="default"/>
          <w:rFonts w:ascii="FrankRuehl" w:hAnsi="FrankRuehl"/>
          <w:sz w:val="28"/>
          <w:rtl/>
        </w:rPr>
        <w:t xml:space="preserve">משיש לכונן ממשלה חדשה יטיל נשיא המדינה, </w:t>
      </w:r>
      <w:r w:rsidRPr="00473D13">
        <w:rPr>
          <w:rStyle w:val="default"/>
          <w:rFonts w:ascii="Century" w:hAnsi="Century" w:cs="Miriam"/>
          <w:b/>
          <w:spacing w:val="0"/>
          <w:szCs w:val="24"/>
          <w:rtl/>
        </w:rPr>
        <w:t>לאחר שהתייעץ עם נציגי הסיעות בכנסת</w:t>
      </w:r>
      <w:r w:rsidRPr="006F654C">
        <w:rPr>
          <w:rStyle w:val="default"/>
          <w:rFonts w:ascii="FrankRuehl" w:hAnsi="FrankRuehl"/>
          <w:sz w:val="28"/>
          <w:rtl/>
        </w:rPr>
        <w:t xml:space="preserve">, את התפקיד להרכיב ממשלה על אחד מחברי הכנסת שהסכים לכך; הנשיא יטיל את התפקיד כאמור </w:t>
      </w:r>
      <w:r w:rsidRPr="00473D13">
        <w:rPr>
          <w:rStyle w:val="default"/>
          <w:rFonts w:ascii="Century" w:hAnsi="Century" w:cs="Miriam"/>
          <w:b/>
          <w:spacing w:val="0"/>
          <w:szCs w:val="24"/>
          <w:rtl/>
        </w:rPr>
        <w:t>בתוך שבעה ימים</w:t>
      </w:r>
      <w:r w:rsidRPr="00473D13">
        <w:rPr>
          <w:rStyle w:val="default"/>
          <w:rFonts w:ascii="FrankRuehl" w:hAnsi="FrankRuehl"/>
          <w:sz w:val="28"/>
          <w:rtl/>
        </w:rPr>
        <w:t xml:space="preserve"> </w:t>
      </w:r>
      <w:r w:rsidRPr="006F654C">
        <w:rPr>
          <w:rStyle w:val="default"/>
          <w:rFonts w:ascii="FrankRuehl" w:hAnsi="FrankRuehl"/>
          <w:sz w:val="28"/>
          <w:rtl/>
        </w:rPr>
        <w:t>מיום פרסום תוצאות הבחירות</w:t>
      </w:r>
      <w:r>
        <w:rPr>
          <w:rStyle w:val="default"/>
          <w:rFonts w:ascii="FrankRuehl" w:hAnsi="FrankRuehl" w:hint="cs"/>
          <w:sz w:val="28"/>
          <w:rtl/>
        </w:rPr>
        <w:t>,</w:t>
      </w:r>
      <w:r w:rsidRPr="006F654C">
        <w:rPr>
          <w:rStyle w:val="default"/>
          <w:rFonts w:ascii="FrankRuehl" w:hAnsi="FrankRuehl"/>
          <w:sz w:val="28"/>
          <w:rtl/>
        </w:rPr>
        <w:t xml:space="preserve"> או מיום היווצרות העילה לכינון ממשלה חדשה, ובמקרה של פטירת ראש הממשלה - בתוך 14 ימים מיום הפטירה.</w:t>
      </w:r>
      <w:r w:rsidRPr="006F654C">
        <w:rPr>
          <w:rStyle w:val="default"/>
          <w:rFonts w:ascii="FrankRuehl" w:hAnsi="FrankRuehl" w:hint="cs"/>
          <w:sz w:val="28"/>
          <w:rtl/>
        </w:rPr>
        <w:t>"</w:t>
      </w:r>
    </w:p>
    <w:p w:rsidR="008835E9" w:rsidRPr="006F654C" w:rsidRDefault="008835E9" w:rsidP="008835E9">
      <w:pPr>
        <w:pStyle w:val="Ruller5"/>
        <w:rPr>
          <w:sz w:val="28"/>
          <w:rtl/>
        </w:rPr>
      </w:pPr>
      <w:r>
        <w:rPr>
          <w:rFonts w:hint="cs"/>
          <w:sz w:val="28"/>
          <w:rtl/>
        </w:rPr>
        <w:t xml:space="preserve">(ההדגשות שלי </w:t>
      </w:r>
      <w:r>
        <w:rPr>
          <w:sz w:val="28"/>
          <w:rtl/>
        </w:rPr>
        <w:t>–</w:t>
      </w:r>
      <w:r>
        <w:rPr>
          <w:rFonts w:hint="cs"/>
          <w:sz w:val="28"/>
          <w:rtl/>
        </w:rPr>
        <w:t xml:space="preserve"> </w:t>
      </w:r>
      <w:r w:rsidRPr="00473D13">
        <w:rPr>
          <w:rFonts w:ascii="Century" w:hAnsi="Century" w:cs="Miriam" w:hint="cs"/>
          <w:b/>
          <w:spacing w:val="0"/>
          <w:szCs w:val="24"/>
          <w:rtl/>
        </w:rPr>
        <w:t>ח"מ</w:t>
      </w:r>
      <w:r>
        <w:rPr>
          <w:rFonts w:hint="cs"/>
          <w:sz w:val="28"/>
          <w:rtl/>
        </w:rPr>
        <w:t>).</w:t>
      </w:r>
    </w:p>
    <w:p w:rsidR="008835E9" w:rsidRDefault="008835E9" w:rsidP="008835E9">
      <w:pPr>
        <w:pStyle w:val="Ruller40"/>
        <w:rPr>
          <w:rtl/>
        </w:rPr>
      </w:pPr>
    </w:p>
    <w:p w:rsidR="008835E9" w:rsidRDefault="008835E9" w:rsidP="008835E9">
      <w:pPr>
        <w:pStyle w:val="Ruller40"/>
        <w:rPr>
          <w:rtl/>
        </w:rPr>
      </w:pPr>
      <w:r>
        <w:rPr>
          <w:rFonts w:hint="cs"/>
          <w:rtl/>
        </w:rPr>
        <w:t>סעיף 9 ל</w:t>
      </w:r>
      <w:r w:rsidRPr="00FB46A2">
        <w:rPr>
          <w:rFonts w:ascii="Century" w:hAnsi="Century" w:cs="Miriam" w:hint="cs"/>
          <w:b/>
          <w:spacing w:val="0"/>
          <w:szCs w:val="24"/>
          <w:rtl/>
        </w:rPr>
        <w:t xml:space="preserve">חוק-יסוד: הממשלה </w:t>
      </w:r>
      <w:r>
        <w:rPr>
          <w:rFonts w:hint="cs"/>
          <w:rtl/>
        </w:rPr>
        <w:t>מורה כהאי לישנא:</w:t>
      </w:r>
    </w:p>
    <w:p w:rsidR="008835E9" w:rsidRDefault="008835E9" w:rsidP="008835E9">
      <w:pPr>
        <w:pStyle w:val="Ruller40"/>
        <w:rPr>
          <w:rtl/>
        </w:rPr>
      </w:pPr>
    </w:p>
    <w:p w:rsidR="008835E9" w:rsidRPr="006F654C" w:rsidRDefault="008835E9" w:rsidP="008835E9">
      <w:pPr>
        <w:pStyle w:val="Ruller5"/>
      </w:pPr>
      <w:r w:rsidRPr="006F654C">
        <w:rPr>
          <w:rFonts w:hint="cs"/>
          <w:rtl/>
        </w:rPr>
        <w:t>"</w:t>
      </w:r>
      <w:r w:rsidRPr="006F654C">
        <w:rPr>
          <w:rtl/>
        </w:rPr>
        <w:t xml:space="preserve">(א)  עברה התקופה לפי סעיף 8 וחבר הכנסת לא הודיע לנשיא המדינה שהרכיב ממשלה, או שהודיע לו לפני כן שאין בידו להרכיב ממשלה, או שהציג ממשלה והכנסת דחתה את הבקשה להביע בה אמון לפי סעיף 13(ד), יטיל הנשיא את התפקיד להרכיב ממשלה על חבר אחר של הכנסת שהודיע לנשיא שהוא מוכן לקבל את התפקיד, או יודיע ליושב ראש הכנסת שאינו רואה אפשרות להגיע להרכבת ממשלה, והכל </w:t>
      </w:r>
      <w:r w:rsidRPr="00C068BB">
        <w:rPr>
          <w:rFonts w:ascii="Century" w:hAnsi="Century" w:cs="Miriam"/>
          <w:b/>
          <w:spacing w:val="0"/>
          <w:szCs w:val="24"/>
          <w:rtl/>
        </w:rPr>
        <w:t>בתוך שלושה ימים</w:t>
      </w:r>
      <w:r w:rsidRPr="00C068BB">
        <w:rPr>
          <w:rtl/>
        </w:rPr>
        <w:t xml:space="preserve"> </w:t>
      </w:r>
      <w:r w:rsidRPr="006F654C">
        <w:rPr>
          <w:rtl/>
        </w:rPr>
        <w:t>מיום שעברה התקופה</w:t>
      </w:r>
      <w:r>
        <w:rPr>
          <w:rFonts w:hint="cs"/>
          <w:rtl/>
        </w:rPr>
        <w:t>,</w:t>
      </w:r>
      <w:r w:rsidRPr="006F654C">
        <w:rPr>
          <w:rtl/>
        </w:rPr>
        <w:t xml:space="preserve"> או מיום הודעתו של חבר הכנסת שאין בידו להרכיב ממשלה, או מיום דחיית הבקשה להביע אמון בממשלה, לפי הענין.</w:t>
      </w:r>
    </w:p>
    <w:p w:rsidR="008835E9" w:rsidRDefault="008835E9" w:rsidP="008835E9">
      <w:pPr>
        <w:pStyle w:val="Ruller5"/>
        <w:rPr>
          <w:rtl/>
        </w:rPr>
      </w:pPr>
      <w:r w:rsidRPr="006F654C">
        <w:rPr>
          <w:rtl/>
        </w:rPr>
        <w:t xml:space="preserve">(ב)  לפני שיטיל את התפקיד להרכיב ממשלה לפי סעיף זה, או לפני שיודיע ליושב ראש הכנסת שאינו רואה אפשרות להגיע להרכבת ממשלה, </w:t>
      </w:r>
      <w:r w:rsidRPr="00B570F6">
        <w:rPr>
          <w:rFonts w:ascii="Century" w:hAnsi="Century" w:cs="Miriam"/>
          <w:b/>
          <w:spacing w:val="0"/>
          <w:szCs w:val="24"/>
          <w:rtl/>
        </w:rPr>
        <w:t>רשאי</w:t>
      </w:r>
      <w:r w:rsidRPr="006F654C">
        <w:rPr>
          <w:rtl/>
        </w:rPr>
        <w:t xml:space="preserve"> הנשיא לחזור ולהתייעץ עם נציגי סיעות בכנסת.</w:t>
      </w:r>
    </w:p>
    <w:p w:rsidR="008835E9" w:rsidRDefault="008835E9" w:rsidP="008835E9">
      <w:pPr>
        <w:pStyle w:val="Ruller5"/>
        <w:rPr>
          <w:rtl/>
        </w:rPr>
      </w:pPr>
      <w:r w:rsidRPr="006F654C">
        <w:rPr>
          <w:rtl/>
        </w:rPr>
        <w:t>(ג)   לחבר הכנסת שהתפקיד להרכיב ממשלה הוטל עליו לפי סעיף זה נתונה למילוי תפקידו תקופה של 28 ימים.</w:t>
      </w:r>
      <w:r w:rsidRPr="006F654C">
        <w:rPr>
          <w:rFonts w:hint="cs"/>
          <w:rtl/>
        </w:rPr>
        <w:t>"</w:t>
      </w:r>
    </w:p>
    <w:p w:rsidR="008835E9" w:rsidRDefault="008835E9" w:rsidP="008835E9">
      <w:pPr>
        <w:pStyle w:val="Ruller5"/>
        <w:rPr>
          <w:rtl/>
        </w:rPr>
      </w:pPr>
      <w:r>
        <w:rPr>
          <w:rFonts w:hint="cs"/>
          <w:rtl/>
        </w:rPr>
        <w:t xml:space="preserve">(ההדגשות שלי </w:t>
      </w:r>
      <w:r>
        <w:rPr>
          <w:rtl/>
        </w:rPr>
        <w:t>–</w:t>
      </w:r>
      <w:r>
        <w:rPr>
          <w:rFonts w:hint="cs"/>
          <w:rtl/>
        </w:rPr>
        <w:t xml:space="preserve"> </w:t>
      </w:r>
      <w:r w:rsidRPr="00C068BB">
        <w:rPr>
          <w:rFonts w:ascii="Century" w:hAnsi="Century" w:cs="Miriam" w:hint="cs"/>
          <w:b/>
          <w:spacing w:val="0"/>
          <w:szCs w:val="24"/>
          <w:rtl/>
        </w:rPr>
        <w:t>ח"מ</w:t>
      </w:r>
      <w:r>
        <w:rPr>
          <w:rFonts w:hint="cs"/>
          <w:rtl/>
        </w:rPr>
        <w:t>).</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עיון בסעיפים האמורים ומשך הזמן שניתן לנשיא לשם קיום ההתייעצות טרם החלטה (7 ימים ו-14 ימים, בהתאמה לעילות השונות בסעיף 7(א) הנ"ל, ו-3 ימים מכח סעיף 9 הנ"ל) מלמדים כי החלטת הנשיא על מי להטיל את תפקיד הרכבת הממשלה מבין חברי הכנסת נתונה, מכח הסעיפים הנ"ל, </w:t>
      </w:r>
      <w:r w:rsidRPr="0024639E">
        <w:rPr>
          <w:rFonts w:ascii="Century" w:hAnsi="Century" w:hint="cs"/>
          <w:b/>
          <w:bCs/>
          <w:rtl/>
        </w:rPr>
        <w:t>בידו והיא בשיקול דעתו הבלעדי של הנשיא</w:t>
      </w:r>
      <w:r w:rsidRPr="0024639E">
        <w:rPr>
          <w:rFonts w:hint="cs"/>
          <w:rtl/>
        </w:rPr>
        <w:t xml:space="preserve"> </w:t>
      </w:r>
      <w:r>
        <w:rPr>
          <w:rFonts w:hint="cs"/>
          <w:rtl/>
        </w:rPr>
        <w:t xml:space="preserve">(ראו: אמנון רובינשטיין וברק מדינה, </w:t>
      </w:r>
      <w:r w:rsidRPr="00645AEB">
        <w:rPr>
          <w:rFonts w:ascii="Century" w:hAnsi="Century" w:cs="Miriam" w:hint="cs"/>
          <w:bCs/>
          <w:spacing w:val="0"/>
          <w:szCs w:val="24"/>
          <w:rtl/>
        </w:rPr>
        <w:t>המשפט החוקתי של מדינת ישראל</w:t>
      </w:r>
      <w:r>
        <w:rPr>
          <w:rFonts w:ascii="Century" w:hAnsi="Century" w:cs="Miriam" w:hint="cs"/>
          <w:bCs/>
          <w:spacing w:val="0"/>
          <w:szCs w:val="24"/>
          <w:rtl/>
        </w:rPr>
        <w:t xml:space="preserve"> </w:t>
      </w:r>
      <w:r>
        <w:rPr>
          <w:rFonts w:hint="cs"/>
          <w:rtl/>
        </w:rPr>
        <w:t xml:space="preserve">(תשס"ה-2005), (להלן: </w:t>
      </w:r>
      <w:r w:rsidRPr="00FB46A2">
        <w:rPr>
          <w:rFonts w:ascii="Century" w:hAnsi="Century" w:cs="Miriam" w:hint="cs"/>
          <w:b/>
          <w:spacing w:val="0"/>
          <w:szCs w:val="24"/>
          <w:rtl/>
        </w:rPr>
        <w:t>רובינשטיין ומדינה</w:t>
      </w:r>
      <w:r>
        <w:rPr>
          <w:rFonts w:hint="cs"/>
          <w:rtl/>
        </w:rPr>
        <w:t>),</w:t>
      </w:r>
      <w:r w:rsidRPr="00645AEB">
        <w:rPr>
          <w:rFonts w:ascii="Century" w:hAnsi="Century" w:cs="Miriam" w:hint="cs"/>
          <w:bCs/>
          <w:spacing w:val="0"/>
          <w:szCs w:val="24"/>
          <w:rtl/>
        </w:rPr>
        <w:t xml:space="preserve"> כרך ב': רשויות השלטון ואזרחות</w:t>
      </w:r>
      <w:r>
        <w:rPr>
          <w:rFonts w:hint="cs"/>
          <w:rtl/>
        </w:rPr>
        <w:t>, עמ' 825-824). זו אף הסיבה לכך כי סעיף 12 ל</w:t>
      </w:r>
      <w:r w:rsidRPr="00FB46A2">
        <w:rPr>
          <w:rFonts w:ascii="Century" w:hAnsi="Century" w:cs="Miriam" w:hint="cs"/>
          <w:b/>
          <w:spacing w:val="0"/>
          <w:szCs w:val="24"/>
          <w:rtl/>
        </w:rPr>
        <w:t xml:space="preserve">חוק-יסוד: נשיא המדינה </w:t>
      </w:r>
      <w:r>
        <w:rPr>
          <w:rFonts w:hint="cs"/>
          <w:rtl/>
        </w:rPr>
        <w:t xml:space="preserve">קובע כי חתימתו של נשיא המדינה בהקשר זה של כינון הממשלה </w:t>
      </w:r>
      <w:r>
        <w:rPr>
          <w:rtl/>
        </w:rPr>
        <w:t>–</w:t>
      </w:r>
      <w:r>
        <w:rPr>
          <w:rFonts w:hint="cs"/>
          <w:rtl/>
        </w:rPr>
        <w:t xml:space="preserve"> איננה טעונה חתימת קיום (של ראש הממשלה, או של שר אחר שהחליטה עליו הממשלה). </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כאשר נשיא המדינה מפעיל את סמכותו על פי הסעיפים הנ"ל הוא צפוי להטיל את תפקיד הרכבת הממשלה על חבר הכנסת בעל מירב הסיכויים להצליח במשימה, ואולם במצבים מיוחדים מותר לו לשקול גם שיקולים נוספים מכח שיקול הדעת הרחב, המופקד בידיו. זו היתה התפיסה שהציגה בפנינו בדיון שנערך בפנינו </w:t>
      </w:r>
      <w:r>
        <w:rPr>
          <w:rtl/>
        </w:rPr>
        <w:t>–</w:t>
      </w:r>
      <w:r>
        <w:rPr>
          <w:rFonts w:hint="cs"/>
          <w:rtl/>
        </w:rPr>
        <w:t xml:space="preserve"> היועצת המשפטית לנשיא,</w:t>
      </w:r>
      <w:r w:rsidRPr="003E54C7">
        <w:rPr>
          <w:rFonts w:ascii="Century" w:hAnsi="Century" w:cs="Miriam" w:hint="cs"/>
          <w:b/>
          <w:spacing w:val="0"/>
          <w:szCs w:val="24"/>
          <w:rtl/>
        </w:rPr>
        <w:t xml:space="preserve"> עו"ד אודית קורינלדי-סירקיס</w:t>
      </w:r>
      <w:r>
        <w:rPr>
          <w:rFonts w:hint="cs"/>
          <w:rtl/>
        </w:rPr>
        <w:t xml:space="preserve">, ואני סומך ידי עליה, מה גם שהיא תואמת את המקובל בבריטניה, ממנה שאבנו את ההסדר החוקתי בנושא זה. </w:t>
      </w:r>
    </w:p>
    <w:p w:rsidR="008835E9" w:rsidRDefault="008835E9" w:rsidP="008835E9">
      <w:pPr>
        <w:pStyle w:val="Ruller40"/>
        <w:rPr>
          <w:rtl/>
        </w:rPr>
      </w:pPr>
      <w:r>
        <w:rPr>
          <w:rFonts w:hint="cs"/>
          <w:rtl/>
        </w:rPr>
        <w:t>עיינו:</w:t>
      </w:r>
    </w:p>
    <w:p w:rsidR="008835E9" w:rsidRDefault="008835E9" w:rsidP="008835E9">
      <w:pPr>
        <w:pStyle w:val="Ruller40"/>
        <w:rPr>
          <w:rtl/>
        </w:rPr>
      </w:pPr>
      <w:r w:rsidRPr="00BC4DF2">
        <w:rPr>
          <w:rFonts w:asciiTheme="majorBidi" w:hAnsiTheme="majorBidi" w:cstheme="majorBidi"/>
          <w:smallCaps/>
        </w:rPr>
        <w:t>O. Hood Phillips</w:t>
      </w:r>
      <w:r>
        <w:rPr>
          <w:rFonts w:asciiTheme="majorBidi" w:hAnsiTheme="majorBidi" w:cstheme="majorBidi"/>
          <w:smallCaps/>
        </w:rPr>
        <w:t>,</w:t>
      </w:r>
      <w:r w:rsidRPr="00BC4DF2">
        <w:rPr>
          <w:rFonts w:asciiTheme="majorBidi" w:hAnsiTheme="majorBidi" w:cstheme="majorBidi"/>
          <w:smallCaps/>
        </w:rPr>
        <w:t xml:space="preserve"> Paul Jackson &amp; Patricia Leopold, Constitutional and Administrative Law</w:t>
      </w:r>
      <w:r>
        <w:rPr>
          <w:rFonts w:asciiTheme="majorBidi" w:hAnsiTheme="majorBidi" w:cstheme="majorBidi"/>
        </w:rPr>
        <w:t>, 360-364</w:t>
      </w:r>
      <w:r w:rsidRPr="009061FB">
        <w:rPr>
          <w:rFonts w:asciiTheme="majorBidi" w:hAnsiTheme="majorBidi" w:cstheme="majorBidi"/>
        </w:rPr>
        <w:t xml:space="preserve"> (8</w:t>
      </w:r>
      <w:r w:rsidRPr="009061FB">
        <w:rPr>
          <w:rFonts w:asciiTheme="majorBidi" w:hAnsiTheme="majorBidi" w:cstheme="majorBidi"/>
          <w:vertAlign w:val="superscript"/>
        </w:rPr>
        <w:t>th</w:t>
      </w:r>
      <w:r w:rsidRPr="009061FB">
        <w:rPr>
          <w:rFonts w:asciiTheme="majorBidi" w:hAnsiTheme="majorBidi" w:cstheme="majorBidi"/>
        </w:rPr>
        <w:t xml:space="preserve"> Edition</w:t>
      </w:r>
      <w:r>
        <w:rPr>
          <w:rFonts w:asciiTheme="majorBidi" w:hAnsiTheme="majorBidi" w:cstheme="majorBidi"/>
        </w:rPr>
        <w:t>-</w:t>
      </w:r>
      <w:r w:rsidRPr="009061FB">
        <w:rPr>
          <w:rFonts w:asciiTheme="majorBidi" w:hAnsiTheme="majorBidi" w:cstheme="majorBidi"/>
        </w:rPr>
        <w:t>2001)</w:t>
      </w:r>
      <w:r>
        <w:rPr>
          <w:rFonts w:asciiTheme="majorBidi" w:hAnsiTheme="majorBidi" w:cstheme="majorBidi"/>
        </w:rPr>
        <w:t xml:space="preserve">; </w:t>
      </w:r>
      <w:r w:rsidRPr="00BC4DF2">
        <w:rPr>
          <w:rFonts w:asciiTheme="majorBidi" w:hAnsiTheme="majorBidi" w:cstheme="majorBidi"/>
          <w:smallCaps/>
        </w:rPr>
        <w:t>A.W. Bradley, K.D Ewing &amp; C.J.S Knight, Constitutional And Administrative Law</w:t>
      </w:r>
      <w:r>
        <w:rPr>
          <w:rFonts w:asciiTheme="majorBidi" w:hAnsiTheme="majorBidi" w:cstheme="majorBidi"/>
          <w:smallCaps/>
        </w:rPr>
        <w:t>, 242-245</w:t>
      </w:r>
      <w:r>
        <w:rPr>
          <w:rFonts w:asciiTheme="majorBidi" w:hAnsiTheme="majorBidi" w:cstheme="majorBidi"/>
        </w:rPr>
        <w:t xml:space="preserve"> (18</w:t>
      </w:r>
      <w:r>
        <w:rPr>
          <w:rFonts w:asciiTheme="majorBidi" w:hAnsiTheme="majorBidi" w:cstheme="majorBidi"/>
          <w:vertAlign w:val="superscript"/>
        </w:rPr>
        <w:t>th</w:t>
      </w:r>
      <w:r>
        <w:rPr>
          <w:rFonts w:asciiTheme="majorBidi" w:hAnsiTheme="majorBidi" w:cstheme="majorBidi"/>
        </w:rPr>
        <w:t xml:space="preserve"> Edition-2014). </w:t>
      </w:r>
    </w:p>
    <w:p w:rsidR="008835E9" w:rsidRPr="00BC4DF2" w:rsidRDefault="008835E9" w:rsidP="008835E9">
      <w:pPr>
        <w:pStyle w:val="Ruller40"/>
        <w:rPr>
          <w:rtl/>
        </w:rPr>
      </w:pPr>
    </w:p>
    <w:p w:rsidR="008835E9" w:rsidRDefault="008835E9" w:rsidP="008835E9">
      <w:pPr>
        <w:pStyle w:val="Ruller40"/>
        <w:rPr>
          <w:rtl/>
        </w:rPr>
      </w:pPr>
      <w:r>
        <w:rPr>
          <w:rtl/>
        </w:rPr>
        <w:tab/>
      </w:r>
      <w:r>
        <w:rPr>
          <w:rFonts w:hint="cs"/>
          <w:rtl/>
        </w:rPr>
        <w:t xml:space="preserve">במסגרת השיקולים הנ"ל </w:t>
      </w:r>
      <w:r>
        <w:rPr>
          <w:rtl/>
        </w:rPr>
        <w:t>–</w:t>
      </w:r>
      <w:r>
        <w:rPr>
          <w:rFonts w:hint="cs"/>
          <w:rtl/>
        </w:rPr>
        <w:t xml:space="preserve"> הנשיא רשאי להביא בחשבון גם את העובדה שכנגד המועמד שהוצע לו (בגדר ההתיעצויות שערך) הוגש כתב אישום, המייחס לו עבירות חמורות על טוהר המידות. לפיכך ככל שיש חבר כנסת אחר, שאף לו יש סיכוי להרכיב ממשלה ואין לו בעיה דומה </w:t>
      </w:r>
      <w:r>
        <w:rPr>
          <w:rtl/>
        </w:rPr>
        <w:t>–</w:t>
      </w:r>
      <w:r>
        <w:rPr>
          <w:rFonts w:hint="cs"/>
          <w:rtl/>
        </w:rPr>
        <w:t xml:space="preserve"> הנשיא יכול להעדיף </w:t>
      </w:r>
      <w:r w:rsidRPr="00546124">
        <w:rPr>
          <w:rFonts w:hint="cs"/>
          <w:b/>
          <w:bCs/>
          <w:rtl/>
        </w:rPr>
        <w:t xml:space="preserve">אותו </w:t>
      </w:r>
      <w:r>
        <w:rPr>
          <w:rFonts w:hint="cs"/>
          <w:rtl/>
        </w:rPr>
        <w:t xml:space="preserve">(השוו למערכת העקרונות והערכים, אותם מונה פרופ' </w:t>
      </w:r>
      <w:r w:rsidRPr="0072673E">
        <w:rPr>
          <w:rFonts w:ascii="Century" w:hAnsi="Century" w:cs="Miriam" w:hint="cs"/>
          <w:b/>
          <w:spacing w:val="0"/>
          <w:szCs w:val="24"/>
          <w:rtl/>
        </w:rPr>
        <w:t>דניאל בן אוליאל</w:t>
      </w:r>
      <w:r w:rsidRPr="0072673E">
        <w:rPr>
          <w:rFonts w:hint="cs"/>
          <w:rtl/>
        </w:rPr>
        <w:t xml:space="preserve"> </w:t>
      </w:r>
      <w:r>
        <w:rPr>
          <w:rFonts w:hint="cs"/>
          <w:rtl/>
        </w:rPr>
        <w:t>במאמרו: "העברת ראש הממשלה תחת כתב אישום מתפקידו", צפוי להתפרסם ב</w:t>
      </w:r>
      <w:r w:rsidRPr="003E54C7">
        <w:rPr>
          <w:rFonts w:ascii="Century" w:hAnsi="Century" w:cs="Miriam" w:hint="cs"/>
          <w:b/>
          <w:spacing w:val="0"/>
          <w:szCs w:val="24"/>
          <w:rtl/>
        </w:rPr>
        <w:t xml:space="preserve">משפט וממשל </w:t>
      </w:r>
      <w:r>
        <w:rPr>
          <w:rFonts w:hint="cs"/>
          <w:rtl/>
        </w:rPr>
        <w:t xml:space="preserve">כ"א בשנת 2020 (להלן: </w:t>
      </w:r>
      <w:r w:rsidRPr="004F274E">
        <w:rPr>
          <w:rFonts w:ascii="Century" w:hAnsi="Century" w:cs="Miriam" w:hint="cs"/>
          <w:b/>
          <w:spacing w:val="0"/>
          <w:szCs w:val="24"/>
          <w:rtl/>
        </w:rPr>
        <w:t>בן אוליאל</w:t>
      </w:r>
      <w:r>
        <w:rPr>
          <w:rFonts w:hint="cs"/>
          <w:rtl/>
        </w:rPr>
        <w:t>)).</w:t>
      </w:r>
    </w:p>
    <w:p w:rsidR="008835E9" w:rsidRDefault="008835E9" w:rsidP="008835E9">
      <w:pPr>
        <w:pStyle w:val="Ruller40"/>
        <w:rPr>
          <w:rtl/>
        </w:rPr>
      </w:pPr>
    </w:p>
    <w:p w:rsidR="008835E9" w:rsidRDefault="008835E9" w:rsidP="008835E9">
      <w:pPr>
        <w:pStyle w:val="Ruller40"/>
        <w:rPr>
          <w:rtl/>
        </w:rPr>
      </w:pPr>
      <w:r>
        <w:rPr>
          <w:rFonts w:hint="cs"/>
          <w:rtl/>
        </w:rPr>
        <w:t>4.</w:t>
      </w:r>
      <w:r>
        <w:rPr>
          <w:rFonts w:hint="cs"/>
          <w:rtl/>
        </w:rPr>
        <w:tab/>
        <w:t xml:space="preserve">זה המקום להעיר כי מה שנפסק ב-בג"ץ 2848/19 </w:t>
      </w:r>
      <w:r w:rsidRPr="003E54C7">
        <w:rPr>
          <w:rFonts w:ascii="Century" w:hAnsi="Century" w:cs="Miriam" w:hint="cs"/>
          <w:b/>
          <w:spacing w:val="0"/>
          <w:szCs w:val="24"/>
          <w:rtl/>
        </w:rPr>
        <w:t>עו"ד שחר בן מאיר נ' חה"כ בנימין נתניהו</w:t>
      </w:r>
      <w:r w:rsidRPr="003E54C7">
        <w:rPr>
          <w:rFonts w:hint="cs"/>
          <w:rtl/>
        </w:rPr>
        <w:t xml:space="preserve"> </w:t>
      </w:r>
      <w:r>
        <w:rPr>
          <w:rFonts w:hint="cs"/>
          <w:rtl/>
        </w:rPr>
        <w:t xml:space="preserve">(23.04.2020) יש לקוראו, לשיטתי, על רקע העובדה שבאותו השלב נמסר לחה"כ בנימין נתניהו </w:t>
      </w:r>
      <w:r w:rsidRPr="000E53EE">
        <w:rPr>
          <w:rFonts w:hint="cs"/>
          <w:b/>
          <w:bCs/>
          <w:rtl/>
        </w:rPr>
        <w:t>כתב חשדות בלבד</w:t>
      </w:r>
      <w:r>
        <w:rPr>
          <w:rFonts w:hint="cs"/>
          <w:rtl/>
        </w:rPr>
        <w:t xml:space="preserve"> (ושונה המצב ביחס לשיקול דעתו של הנשיא, כאשר כנגד חבר הכנסת עומד </w:t>
      </w:r>
      <w:r w:rsidRPr="00AD5C49">
        <w:rPr>
          <w:rFonts w:hint="cs"/>
          <w:b/>
          <w:bCs/>
          <w:rtl/>
        </w:rPr>
        <w:t>כתב אישום</w:t>
      </w:r>
      <w:r>
        <w:rPr>
          <w:rFonts w:hint="cs"/>
          <w:rtl/>
        </w:rPr>
        <w:t xml:space="preserve">). מכאן שכל אמירה בפסק הדין האמור (שדחה את העתירה שם על הסף </w:t>
      </w:r>
      <w:r>
        <w:rPr>
          <w:rtl/>
        </w:rPr>
        <w:t>–</w:t>
      </w:r>
      <w:r>
        <w:rPr>
          <w:rFonts w:hint="cs"/>
          <w:rtl/>
        </w:rPr>
        <w:t xml:space="preserve"> ללא דיון), ככל שיש בה משום הגבלת שיקול דעתו של נשיא המדינה מכח סעיפים 7 ו-9 ל</w:t>
      </w:r>
      <w:r w:rsidRPr="003E54C7">
        <w:rPr>
          <w:rFonts w:ascii="Century" w:hAnsi="Century" w:cs="Miriam" w:hint="cs"/>
          <w:b/>
          <w:spacing w:val="0"/>
          <w:szCs w:val="24"/>
          <w:rtl/>
        </w:rPr>
        <w:t xml:space="preserve">חוק-יסוד: הממשלה </w:t>
      </w:r>
      <w:r>
        <w:rPr>
          <w:rtl/>
        </w:rPr>
        <w:t>–</w:t>
      </w:r>
      <w:r>
        <w:rPr>
          <w:rFonts w:hint="cs"/>
          <w:rtl/>
        </w:rPr>
        <w:t xml:space="preserve"> ראוי לראותה </w:t>
      </w:r>
      <w:r w:rsidRPr="000E53EE">
        <w:rPr>
          <w:rFonts w:hint="cs"/>
          <w:b/>
          <w:bCs/>
          <w:rtl/>
        </w:rPr>
        <w:t>כאוביטר</w:t>
      </w:r>
      <w:r>
        <w:rPr>
          <w:rFonts w:hint="cs"/>
          <w:rtl/>
        </w:rPr>
        <w:t xml:space="preserve"> </w:t>
      </w:r>
      <w:r w:rsidRPr="00F214B1">
        <w:rPr>
          <w:rFonts w:hint="cs"/>
          <w:b/>
          <w:bCs/>
          <w:rtl/>
        </w:rPr>
        <w:t>בלבד</w:t>
      </w:r>
      <w:r>
        <w:rPr>
          <w:rFonts w:hint="cs"/>
          <w:rtl/>
        </w:rPr>
        <w:t xml:space="preserve"> (שאיננו מקובל עלי, ולמירב ניתן להחילו, בשינויים המחויבים, רק על סעיף 10 ל</w:t>
      </w:r>
      <w:r w:rsidRPr="003E54C7">
        <w:rPr>
          <w:rFonts w:ascii="Century" w:hAnsi="Century" w:cs="Miriam" w:hint="cs"/>
          <w:b/>
          <w:spacing w:val="0"/>
          <w:szCs w:val="24"/>
          <w:rtl/>
        </w:rPr>
        <w:t>חוק-יסוד: הממשלה</w:t>
      </w:r>
      <w:r>
        <w:rPr>
          <w:rFonts w:hint="cs"/>
          <w:rtl/>
        </w:rPr>
        <w:t xml:space="preserve">, בו אדון מיד בסמוך). </w:t>
      </w:r>
    </w:p>
    <w:p w:rsidR="008835E9" w:rsidRDefault="008835E9" w:rsidP="008835E9">
      <w:pPr>
        <w:pStyle w:val="Ruller40"/>
        <w:rPr>
          <w:rtl/>
        </w:rPr>
      </w:pPr>
    </w:p>
    <w:p w:rsidR="008835E9" w:rsidRDefault="008835E9" w:rsidP="008835E9">
      <w:pPr>
        <w:pStyle w:val="Ruller40"/>
        <w:rPr>
          <w:rtl/>
        </w:rPr>
      </w:pPr>
      <w:r>
        <w:rPr>
          <w:rFonts w:hint="cs"/>
          <w:rtl/>
        </w:rPr>
        <w:t>5.</w:t>
      </w:r>
      <w:r>
        <w:rPr>
          <w:rFonts w:hint="cs"/>
          <w:rtl/>
        </w:rPr>
        <w:tab/>
        <w:t>סעיף 10 ל</w:t>
      </w:r>
      <w:r w:rsidRPr="003E54C7">
        <w:rPr>
          <w:rFonts w:ascii="Century" w:hAnsi="Century" w:cs="Miriam" w:hint="cs"/>
          <w:b/>
          <w:spacing w:val="0"/>
          <w:szCs w:val="24"/>
          <w:rtl/>
        </w:rPr>
        <w:t>חוק-יסוד: הממשלה</w:t>
      </w:r>
      <w:r>
        <w:rPr>
          <w:rFonts w:hint="cs"/>
          <w:rtl/>
        </w:rPr>
        <w:t>, שהוא הסעיף שבמוקד העתירות שלפנינו, מורה כהאי לישנא:</w:t>
      </w:r>
    </w:p>
    <w:p w:rsidR="008835E9" w:rsidRDefault="008835E9" w:rsidP="008835E9">
      <w:pPr>
        <w:pStyle w:val="Ruller40"/>
        <w:rPr>
          <w:rtl/>
        </w:rPr>
      </w:pPr>
    </w:p>
    <w:p w:rsidR="008835E9" w:rsidRPr="00CA4D0F" w:rsidRDefault="008835E9" w:rsidP="008835E9">
      <w:pPr>
        <w:pStyle w:val="Ruller5"/>
        <w:rPr>
          <w:rFonts w:cs="Times New Roman"/>
          <w:sz w:val="28"/>
        </w:rPr>
      </w:pPr>
      <w:r w:rsidRPr="00CA4D0F">
        <w:rPr>
          <w:rFonts w:hint="cs"/>
          <w:sz w:val="28"/>
          <w:rtl/>
        </w:rPr>
        <w:t>"</w:t>
      </w:r>
      <w:r w:rsidRPr="00CA4D0F">
        <w:rPr>
          <w:rStyle w:val="default"/>
          <w:rFonts w:ascii="FrankRuehl" w:hAnsi="FrankRuehl"/>
          <w:sz w:val="28"/>
          <w:rtl/>
        </w:rPr>
        <w:t xml:space="preserve">(א)  הודיע נשיא המדינה ליושב ראש הכנסת, לפי סעיף 9(א), שאינו רואה אפשרות להגיע להרכבת ממשלה, או שהטיל את התפקיד להרכיב ממשלה על חבר הכנסת לפי אותו סעיף וחבר הכנסת לא הודיע לנשיא בתוך 28 ימים שהרכיב ממשלה או שהודיע לו לפני כן שאין בידו להרכיב ממשלה או שהציג ממשלה והכנסת דחתה את הבקשה להביע בה אמון לפי סעיף 13(ד), </w:t>
      </w:r>
      <w:r w:rsidRPr="000E53EE">
        <w:rPr>
          <w:rStyle w:val="default"/>
          <w:rFonts w:ascii="Century" w:hAnsi="Century" w:cs="Miriam"/>
          <w:b/>
          <w:spacing w:val="0"/>
          <w:szCs w:val="24"/>
          <w:rtl/>
        </w:rPr>
        <w:t xml:space="preserve">רשאים </w:t>
      </w:r>
      <w:r w:rsidRPr="00546124">
        <w:rPr>
          <w:rStyle w:val="default"/>
          <w:rFonts w:ascii="Century" w:hAnsi="Century" w:cs="Miriam"/>
          <w:bCs/>
          <w:spacing w:val="0"/>
          <w:szCs w:val="24"/>
          <w:rtl/>
        </w:rPr>
        <w:t>רוב</w:t>
      </w:r>
      <w:r w:rsidRPr="000E53EE">
        <w:rPr>
          <w:rStyle w:val="default"/>
          <w:rFonts w:ascii="Century" w:hAnsi="Century" w:cs="Miriam"/>
          <w:b/>
          <w:spacing w:val="0"/>
          <w:szCs w:val="24"/>
          <w:rtl/>
        </w:rPr>
        <w:t xml:space="preserve"> חברי הכנסת לבקש מנשיא המדינה, בכתב, להטיל את התפקיד על חבר הכנסת פלוני, שהסכים לכך בכתב</w:t>
      </w:r>
      <w:r w:rsidRPr="00CA4D0F">
        <w:rPr>
          <w:rStyle w:val="default"/>
          <w:rFonts w:ascii="FrankRuehl" w:hAnsi="FrankRuehl"/>
          <w:sz w:val="28"/>
          <w:rtl/>
        </w:rPr>
        <w:t>, והכל בתוך 21 ימים מיום הודעת הנשיא, או מהיום שבו עברה התקופה לפי סעיף 9(ג), או מיום הודעתו של חבר הכנסת שאין בידו להרכיב ממשלה, או מיום דחיית הבקשה להביע אמון בממשלה, לפי הענין.</w:t>
      </w:r>
    </w:p>
    <w:p w:rsidR="008835E9" w:rsidRPr="00CA4D0F" w:rsidRDefault="008835E9" w:rsidP="008835E9">
      <w:pPr>
        <w:pStyle w:val="Ruller5"/>
        <w:rPr>
          <w:sz w:val="28"/>
          <w:rtl/>
        </w:rPr>
      </w:pPr>
      <w:r w:rsidRPr="00CA4D0F">
        <w:rPr>
          <w:rStyle w:val="default"/>
          <w:rFonts w:ascii="FrankRuehl" w:hAnsi="FrankRuehl"/>
          <w:sz w:val="28"/>
          <w:rtl/>
        </w:rPr>
        <w:t>(ב)  הוגשה לנשיא בקשה כאמור בסעיף קטן (א),</w:t>
      </w:r>
      <w:r w:rsidRPr="000E53EE">
        <w:rPr>
          <w:rStyle w:val="default"/>
          <w:rFonts w:ascii="Century" w:hAnsi="Century" w:cs="Miriam"/>
          <w:b/>
          <w:spacing w:val="0"/>
          <w:szCs w:val="24"/>
          <w:rtl/>
        </w:rPr>
        <w:t xml:space="preserve"> יטיל הנשיא, בתוך יומיים</w:t>
      </w:r>
      <w:r w:rsidRPr="00CA4D0F">
        <w:rPr>
          <w:rStyle w:val="default"/>
          <w:rFonts w:ascii="FrankRuehl" w:hAnsi="FrankRuehl"/>
          <w:sz w:val="28"/>
          <w:rtl/>
        </w:rPr>
        <w:t>, את התפקיד להרכיב ממשלה על חבר הכנסת שצוין בבקשה.</w:t>
      </w:r>
    </w:p>
    <w:p w:rsidR="008835E9" w:rsidRDefault="008835E9" w:rsidP="008835E9">
      <w:pPr>
        <w:pStyle w:val="Ruller5"/>
        <w:rPr>
          <w:rStyle w:val="default"/>
          <w:rFonts w:ascii="FrankRuehl" w:hAnsi="FrankRuehl"/>
          <w:sz w:val="28"/>
          <w:rtl/>
        </w:rPr>
      </w:pPr>
      <w:r w:rsidRPr="00CA4D0F">
        <w:rPr>
          <w:rStyle w:val="default"/>
          <w:rFonts w:ascii="FrankRuehl" w:hAnsi="FrankRuehl"/>
          <w:sz w:val="28"/>
          <w:rtl/>
        </w:rPr>
        <w:t>(ג)   לחבר הכנסת שהתפקיד להרכיב ממשלה הוטל עליו לפי סעיף זה נתונה למילוי תפקידו תקופה של 14 ימים.</w:t>
      </w:r>
      <w:r>
        <w:rPr>
          <w:rStyle w:val="default"/>
          <w:rFonts w:ascii="FrankRuehl" w:hAnsi="FrankRuehl" w:hint="cs"/>
          <w:sz w:val="28"/>
          <w:rtl/>
        </w:rPr>
        <w:t>"</w:t>
      </w:r>
    </w:p>
    <w:p w:rsidR="008835E9" w:rsidRDefault="008835E9" w:rsidP="008835E9">
      <w:pPr>
        <w:pStyle w:val="Ruller5"/>
        <w:rPr>
          <w:rStyle w:val="default"/>
          <w:rFonts w:ascii="FrankRuehl" w:hAnsi="FrankRuehl"/>
          <w:sz w:val="28"/>
          <w:rtl/>
        </w:rPr>
      </w:pPr>
      <w:r>
        <w:rPr>
          <w:rStyle w:val="default"/>
          <w:rFonts w:ascii="FrankRuehl" w:hAnsi="FrankRuehl" w:hint="cs"/>
          <w:sz w:val="28"/>
          <w:rtl/>
        </w:rPr>
        <w:t xml:space="preserve">(ההדגשות שלי </w:t>
      </w:r>
      <w:r>
        <w:rPr>
          <w:rStyle w:val="default"/>
          <w:rFonts w:ascii="FrankRuehl" w:hAnsi="FrankRuehl"/>
          <w:sz w:val="28"/>
          <w:rtl/>
        </w:rPr>
        <w:t>–</w:t>
      </w:r>
      <w:r>
        <w:rPr>
          <w:rStyle w:val="default"/>
          <w:rFonts w:ascii="FrankRuehl" w:hAnsi="FrankRuehl" w:hint="cs"/>
          <w:sz w:val="28"/>
          <w:rtl/>
        </w:rPr>
        <w:t xml:space="preserve"> </w:t>
      </w:r>
      <w:r w:rsidRPr="000E53EE">
        <w:rPr>
          <w:rStyle w:val="default"/>
          <w:rFonts w:ascii="Century" w:hAnsi="Century" w:cs="Miriam" w:hint="cs"/>
          <w:b/>
          <w:spacing w:val="0"/>
          <w:szCs w:val="24"/>
          <w:rtl/>
        </w:rPr>
        <w:t>ח"מ</w:t>
      </w:r>
      <w:r>
        <w:rPr>
          <w:rStyle w:val="default"/>
          <w:rFonts w:ascii="FrankRuehl" w:hAnsi="FrankRuehl" w:hint="cs"/>
          <w:sz w:val="28"/>
          <w:rtl/>
        </w:rPr>
        <w:t>).</w:t>
      </w:r>
    </w:p>
    <w:p w:rsidR="008835E9" w:rsidRDefault="008835E9" w:rsidP="008835E9">
      <w:pPr>
        <w:pStyle w:val="Ruller5"/>
        <w:rPr>
          <w:rStyle w:val="default"/>
          <w:rFonts w:ascii="FrankRuehl" w:hAnsi="FrankRuehl"/>
          <w:sz w:val="28"/>
          <w:rtl/>
        </w:rPr>
      </w:pPr>
    </w:p>
    <w:p w:rsidR="008835E9" w:rsidRPr="00CA4D0F" w:rsidRDefault="008835E9" w:rsidP="008835E9">
      <w:pPr>
        <w:pStyle w:val="Ruller5"/>
        <w:rPr>
          <w:sz w:val="28"/>
          <w:rtl/>
        </w:rPr>
      </w:pPr>
    </w:p>
    <w:p w:rsidR="008835E9" w:rsidRDefault="008835E9" w:rsidP="008835E9">
      <w:pPr>
        <w:pStyle w:val="Ruller40"/>
        <w:rPr>
          <w:rtl/>
        </w:rPr>
      </w:pPr>
      <w:r>
        <w:rPr>
          <w:rtl/>
        </w:rPr>
        <w:tab/>
      </w:r>
      <w:r>
        <w:rPr>
          <w:rFonts w:hint="cs"/>
          <w:rtl/>
        </w:rPr>
        <w:t>עיון מעמיק בסעיף הנ"ל מלמד כי פה שיקול הדעת של הנשיא מצומצם מאוד, בהשוואה לדיסקרציה הרחבה הנתונה לו לפי סעיפים 7 ו-9 ל</w:t>
      </w:r>
      <w:r w:rsidRPr="003E54C7">
        <w:rPr>
          <w:rFonts w:ascii="Century" w:hAnsi="Century" w:cs="Miriam" w:hint="cs"/>
          <w:b/>
          <w:spacing w:val="0"/>
          <w:szCs w:val="24"/>
          <w:rtl/>
        </w:rPr>
        <w:t>חוק-יסוד: הממשלה</w:t>
      </w:r>
      <w:r>
        <w:rPr>
          <w:rFonts w:hint="cs"/>
          <w:rtl/>
        </w:rPr>
        <w:t xml:space="preserve">. הדבר עולה </w:t>
      </w:r>
      <w:r w:rsidRPr="006011DD">
        <w:rPr>
          <w:rFonts w:hint="cs"/>
          <w:b/>
          <w:bCs/>
          <w:rtl/>
        </w:rPr>
        <w:t>מלשון החובה</w:t>
      </w:r>
      <w:r>
        <w:rPr>
          <w:rFonts w:hint="cs"/>
          <w:rtl/>
        </w:rPr>
        <w:t xml:space="preserve"> שבס"ק 10(ב) ל</w:t>
      </w:r>
      <w:r>
        <w:rPr>
          <w:rFonts w:ascii="Century" w:hAnsi="Century" w:cs="Miriam" w:hint="cs"/>
          <w:b/>
          <w:spacing w:val="0"/>
          <w:szCs w:val="24"/>
          <w:rtl/>
        </w:rPr>
        <w:t>חוק-יסוד: הממשלה הנ"ל</w:t>
      </w:r>
      <w:r w:rsidRPr="006011DD">
        <w:rPr>
          <w:rFonts w:hint="cs"/>
          <w:rtl/>
        </w:rPr>
        <w:t>,</w:t>
      </w:r>
      <w:r>
        <w:rPr>
          <w:rFonts w:ascii="Century" w:hAnsi="Century" w:cs="Miriam" w:hint="cs"/>
          <w:b/>
          <w:spacing w:val="0"/>
          <w:szCs w:val="24"/>
          <w:rtl/>
        </w:rPr>
        <w:t xml:space="preserve"> </w:t>
      </w:r>
      <w:r>
        <w:rPr>
          <w:rFonts w:hint="cs"/>
          <w:rtl/>
        </w:rPr>
        <w:t xml:space="preserve">הקובע </w:t>
      </w:r>
      <w:r w:rsidRPr="00CC38FC">
        <w:rPr>
          <w:rFonts w:hint="cs"/>
          <w:b/>
          <w:bCs/>
          <w:rtl/>
        </w:rPr>
        <w:t>מנדטורית</w:t>
      </w:r>
      <w:r>
        <w:rPr>
          <w:rFonts w:hint="cs"/>
          <w:rtl/>
        </w:rPr>
        <w:t xml:space="preserve"> כי כאשר הוגשה לנשיא בקשה כאמור בס"ק 10(א) הנ"ל </w:t>
      </w:r>
      <w:r>
        <w:rPr>
          <w:rtl/>
        </w:rPr>
        <w:t>–</w:t>
      </w:r>
      <w:r>
        <w:rPr>
          <w:rFonts w:hint="cs"/>
          <w:rtl/>
        </w:rPr>
        <w:t xml:space="preserve"> הוא </w:t>
      </w:r>
      <w:r w:rsidRPr="00CC38FC">
        <w:rPr>
          <w:rFonts w:ascii="Century" w:hAnsi="Century" w:hint="cs"/>
          <w:b/>
          <w:bCs/>
          <w:rtl/>
        </w:rPr>
        <w:t>יטיל</w:t>
      </w:r>
      <w:r w:rsidRPr="00CC38FC">
        <w:rPr>
          <w:rFonts w:hint="cs"/>
          <w:rtl/>
        </w:rPr>
        <w:t xml:space="preserve"> </w:t>
      </w:r>
      <w:r>
        <w:rPr>
          <w:rFonts w:hint="cs"/>
          <w:rtl/>
        </w:rPr>
        <w:t xml:space="preserve">את התפקיד להרכיב ממשלה </w:t>
      </w:r>
      <w:r w:rsidRPr="0029797A">
        <w:rPr>
          <w:rFonts w:hint="cs"/>
          <w:b/>
          <w:bCs/>
          <w:rtl/>
        </w:rPr>
        <w:t>על חבר הכנסת שצוין בבקשה</w:t>
      </w:r>
      <w:r>
        <w:rPr>
          <w:rFonts w:hint="cs"/>
          <w:rtl/>
        </w:rPr>
        <w:t xml:space="preserve">. ובכל זאת הסעיף האמור מקנה לנשיא </w:t>
      </w:r>
      <w:r w:rsidRPr="00463264">
        <w:rPr>
          <w:rFonts w:ascii="Century" w:hAnsi="Century" w:cs="Miriam" w:hint="cs"/>
          <w:b/>
          <w:spacing w:val="0"/>
          <w:szCs w:val="24"/>
          <w:rtl/>
        </w:rPr>
        <w:t>יומיים</w:t>
      </w:r>
      <w:r w:rsidRPr="00463264">
        <w:rPr>
          <w:rFonts w:hint="cs"/>
          <w:rtl/>
        </w:rPr>
        <w:t xml:space="preserve"> </w:t>
      </w:r>
      <w:r>
        <w:rPr>
          <w:rFonts w:hint="cs"/>
          <w:rtl/>
        </w:rPr>
        <w:t>לצורך זה (בשונה, כאמור, משבעה, או ארבעה עשר יום (בהתאמה לעילה) לפי סעיף 7(א) ל</w:t>
      </w:r>
      <w:r>
        <w:rPr>
          <w:rFonts w:ascii="Century" w:hAnsi="Century" w:cs="Miriam" w:hint="cs"/>
          <w:b/>
          <w:spacing w:val="0"/>
          <w:szCs w:val="24"/>
          <w:rtl/>
        </w:rPr>
        <w:t>חוק-יסוד: הממשלה</w:t>
      </w:r>
      <w:r w:rsidRPr="004448B6">
        <w:rPr>
          <w:rFonts w:hint="cs"/>
          <w:rtl/>
        </w:rPr>
        <w:t xml:space="preserve">, </w:t>
      </w:r>
      <w:r>
        <w:rPr>
          <w:rFonts w:hint="cs"/>
          <w:rtl/>
        </w:rPr>
        <w:t>ושלושה ימים לפי סעיף 9 ל</w:t>
      </w:r>
      <w:r w:rsidRPr="003E54C7">
        <w:rPr>
          <w:rFonts w:ascii="Century" w:hAnsi="Century" w:cs="Miriam" w:hint="cs"/>
          <w:b/>
          <w:spacing w:val="0"/>
          <w:szCs w:val="24"/>
          <w:rtl/>
        </w:rPr>
        <w:t>חוק-יסוד: הממשלה</w:t>
      </w:r>
      <w:r>
        <w:rPr>
          <w:rFonts w:hint="cs"/>
          <w:rtl/>
        </w:rPr>
        <w:t xml:space="preserve">). נשאלת איפוא השאלה </w:t>
      </w:r>
      <w:r>
        <w:rPr>
          <w:rtl/>
        </w:rPr>
        <w:t>–</w:t>
      </w:r>
      <w:r>
        <w:rPr>
          <w:rFonts w:hint="cs"/>
          <w:rtl/>
        </w:rPr>
        <w:t xml:space="preserve"> אם הנשיא </w:t>
      </w:r>
      <w:r w:rsidRPr="00CC38FC">
        <w:rPr>
          <w:rFonts w:hint="cs"/>
          <w:b/>
          <w:bCs/>
          <w:rtl/>
        </w:rPr>
        <w:t>מחוייב</w:t>
      </w:r>
      <w:r>
        <w:rPr>
          <w:rFonts w:hint="cs"/>
          <w:rtl/>
        </w:rPr>
        <w:t xml:space="preserve"> לכאורה לבקשתם בכתב של </w:t>
      </w:r>
      <w:r w:rsidRPr="008F7335">
        <w:rPr>
          <w:rFonts w:hint="cs"/>
          <w:b/>
          <w:bCs/>
          <w:rtl/>
        </w:rPr>
        <w:t>רוב</w:t>
      </w:r>
      <w:r>
        <w:rPr>
          <w:rFonts w:hint="cs"/>
          <w:rtl/>
        </w:rPr>
        <w:t xml:space="preserve"> חברי הכנסת (61 ומעלה) להטיל את הרכבת הממשלה על חבר הכנסת פלוני, כאשר חבר הכנסת המדובר נתן הסכמתו לכך בכתב </w:t>
      </w:r>
      <w:r>
        <w:rPr>
          <w:rtl/>
        </w:rPr>
        <w:t>–</w:t>
      </w:r>
      <w:r>
        <w:rPr>
          <w:rFonts w:hint="cs"/>
          <w:rtl/>
        </w:rPr>
        <w:t xml:space="preserve"> </w:t>
      </w:r>
      <w:r w:rsidRPr="00CD5435">
        <w:rPr>
          <w:rFonts w:ascii="Century" w:hAnsi="Century" w:cs="Miriam" w:hint="cs"/>
          <w:b/>
          <w:spacing w:val="0"/>
          <w:szCs w:val="24"/>
          <w:rtl/>
        </w:rPr>
        <w:t>מה משמיעים לנו אותם יומיים</w:t>
      </w:r>
      <w:r>
        <w:rPr>
          <w:rFonts w:hint="cs"/>
          <w:rtl/>
        </w:rPr>
        <w:t xml:space="preserve">. בהקשר זה נראית לי העמדה שהוצגה בדיון על ידי היועצת המשפטית לנשיא המדינה וכן גישתם של מנהל מחלקת הבג"צים, </w:t>
      </w:r>
      <w:r w:rsidRPr="00C52605">
        <w:rPr>
          <w:rFonts w:ascii="Century" w:hAnsi="Century" w:cs="Miriam" w:hint="cs"/>
          <w:b/>
          <w:spacing w:val="0"/>
          <w:szCs w:val="24"/>
          <w:rtl/>
        </w:rPr>
        <w:t>עו"ד ענר הלמן</w:t>
      </w:r>
      <w:r>
        <w:rPr>
          <w:rFonts w:hint="cs"/>
          <w:rtl/>
        </w:rPr>
        <w:t xml:space="preserve">, ונציגת היועץ המשפטי לכנסת, </w:t>
      </w:r>
      <w:r w:rsidRPr="00C52605">
        <w:rPr>
          <w:rFonts w:ascii="Century" w:hAnsi="Century" w:cs="Miriam" w:hint="cs"/>
          <w:b/>
          <w:spacing w:val="0"/>
          <w:szCs w:val="24"/>
          <w:rtl/>
        </w:rPr>
        <w:t>עו"ד אביטל סומפולינסקי</w:t>
      </w:r>
      <w:r>
        <w:rPr>
          <w:rFonts w:hint="cs"/>
          <w:rtl/>
        </w:rPr>
        <w:t xml:space="preserve">, שהבהירו כי באותם </w:t>
      </w:r>
      <w:r w:rsidRPr="00736B8C">
        <w:rPr>
          <w:rFonts w:ascii="Century" w:hAnsi="Century" w:cs="Miriam" w:hint="cs"/>
          <w:b/>
          <w:spacing w:val="0"/>
          <w:szCs w:val="24"/>
          <w:rtl/>
        </w:rPr>
        <w:t>יומיים</w:t>
      </w:r>
      <w:r w:rsidRPr="00736B8C">
        <w:rPr>
          <w:rFonts w:hint="cs"/>
          <w:rtl/>
        </w:rPr>
        <w:t xml:space="preserve"> </w:t>
      </w:r>
      <w:r>
        <w:rPr>
          <w:rFonts w:hint="cs"/>
          <w:rtl/>
        </w:rPr>
        <w:t xml:space="preserve">נבדקת האותנטיות של החתימות של חברי הכנסת וכן ניתן לברר באותה תקופה, במקרה הצורך, איזו בקשה עדיפה, במקרה שמוגשות, למשל, שתי בקשות (מה שלא קרה כאן </w:t>
      </w:r>
      <w:r>
        <w:rPr>
          <w:rtl/>
        </w:rPr>
        <w:t>–</w:t>
      </w:r>
      <w:r>
        <w:rPr>
          <w:rFonts w:hint="cs"/>
          <w:rtl/>
        </w:rPr>
        <w:t xml:space="preserve"> ועיינו לעניין זה בחוות דעתו של היועץ המשפטי לכנסת, </w:t>
      </w:r>
      <w:r w:rsidRPr="00C52605">
        <w:rPr>
          <w:rFonts w:ascii="Century" w:hAnsi="Century" w:cs="Miriam" w:hint="cs"/>
          <w:b/>
          <w:spacing w:val="0"/>
          <w:szCs w:val="24"/>
          <w:rtl/>
        </w:rPr>
        <w:t>עו"ד איל ינון</w:t>
      </w:r>
      <w:r>
        <w:rPr>
          <w:rFonts w:hint="cs"/>
          <w:rtl/>
        </w:rPr>
        <w:t>, מתאריך 20.11.2019, והבהרה שלו מתאריך 01.12.2019).</w:t>
      </w:r>
      <w:r>
        <w:rPr>
          <w:rtl/>
        </w:rPr>
        <w:tab/>
      </w:r>
      <w:r>
        <w:rPr>
          <w:rtl/>
        </w:rPr>
        <w:tab/>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יחד עם זאת הבדיקות הנ"ל </w:t>
      </w:r>
      <w:r>
        <w:rPr>
          <w:rtl/>
        </w:rPr>
        <w:t>–</w:t>
      </w:r>
      <w:r>
        <w:rPr>
          <w:rFonts w:hint="cs"/>
          <w:rtl/>
        </w:rPr>
        <w:t xml:space="preserve"> אינן "טכניות" בלבד, ועדיין נותר לנשיא שיקול דעת מצומצם מסוים, אם מתברר, למשל, כפי שהסביר לנו בדיון מנהל מחלקת הבג"צים, שחלק מ-61 החתימות התומכות בבקשה הושגו שלא כדין. דוגמה אפשרית לכך היא מקרים שבהם נמצא כי החתימה על הבקשה ניתנה אגב הפרת האיסורים שבסעיף 2 ל</w:t>
      </w:r>
      <w:r w:rsidRPr="00C52605">
        <w:rPr>
          <w:rFonts w:ascii="Century" w:hAnsi="Century" w:cs="Miriam" w:hint="cs"/>
          <w:b/>
          <w:spacing w:val="0"/>
          <w:szCs w:val="24"/>
          <w:rtl/>
        </w:rPr>
        <w:t>חוק הממשלה, התשס"א-2001</w:t>
      </w:r>
      <w:r>
        <w:rPr>
          <w:rFonts w:hint="cs"/>
          <w:rtl/>
        </w:rPr>
        <w:t>, הקובע כך:</w:t>
      </w:r>
    </w:p>
    <w:p w:rsidR="008835E9" w:rsidRDefault="008835E9" w:rsidP="008835E9">
      <w:pPr>
        <w:pStyle w:val="Ruller40"/>
        <w:rPr>
          <w:rtl/>
        </w:rPr>
      </w:pPr>
    </w:p>
    <w:p w:rsidR="008835E9" w:rsidRDefault="008835E9" w:rsidP="008835E9">
      <w:pPr>
        <w:pStyle w:val="Ruller5"/>
        <w:rPr>
          <w:rStyle w:val="default"/>
          <w:rtl/>
        </w:rPr>
      </w:pPr>
      <w:r>
        <w:rPr>
          <w:rStyle w:val="default"/>
          <w:rFonts w:hint="cs"/>
          <w:rtl/>
        </w:rPr>
        <w:t>"2. (</w:t>
      </w:r>
      <w:r>
        <w:rPr>
          <w:rStyle w:val="default"/>
          <w:rtl/>
        </w:rPr>
        <w:t>א</w:t>
      </w:r>
      <w:r>
        <w:rPr>
          <w:rStyle w:val="default"/>
          <w:rFonts w:hint="cs"/>
          <w:rtl/>
        </w:rPr>
        <w:t>) מ</w:t>
      </w:r>
      <w:r>
        <w:rPr>
          <w:rStyle w:val="default"/>
          <w:rtl/>
        </w:rPr>
        <w:t>ק</w:t>
      </w:r>
      <w:r>
        <w:rPr>
          <w:rStyle w:val="default"/>
          <w:rFonts w:hint="cs"/>
          <w:rtl/>
        </w:rPr>
        <w:t xml:space="preserve">ום שעל פי חוק נתונה סמכות להעביר אדם מתפקידו בכנסת, בממשלה, בשירות המדינה, בתאגיד שהוקם בחוק, בחברה ממשלתית או בכל גוף ציבורי אחר </w:t>
      </w:r>
      <w:r>
        <w:rPr>
          <w:rStyle w:val="default"/>
          <w:rtl/>
        </w:rPr>
        <w:t>–</w:t>
      </w:r>
      <w:r>
        <w:rPr>
          <w:rStyle w:val="default"/>
          <w:rFonts w:hint="cs"/>
          <w:rtl/>
        </w:rPr>
        <w:t xml:space="preserve"> לא ייעשה הסכם ולא תינתן התחייבות בענין אי העברתו של אותו אדם מתפקידו.</w:t>
      </w:r>
    </w:p>
    <w:p w:rsidR="008835E9" w:rsidRDefault="008835E9" w:rsidP="008835E9">
      <w:pPr>
        <w:pStyle w:val="Ruller5"/>
        <w:rPr>
          <w:rStyle w:val="default"/>
          <w:rtl/>
        </w:rPr>
      </w:pPr>
      <w:r>
        <w:rPr>
          <w:rStyle w:val="default"/>
          <w:rFonts w:hint="cs"/>
          <w:rtl/>
        </w:rPr>
        <w:t>(</w:t>
      </w:r>
      <w:r>
        <w:rPr>
          <w:rStyle w:val="default"/>
          <w:rtl/>
        </w:rPr>
        <w:t>ב</w:t>
      </w:r>
      <w:r>
        <w:rPr>
          <w:rStyle w:val="default"/>
          <w:rFonts w:hint="cs"/>
          <w:rtl/>
        </w:rPr>
        <w:t>) ל</w:t>
      </w:r>
      <w:r>
        <w:rPr>
          <w:rStyle w:val="default"/>
          <w:rtl/>
        </w:rPr>
        <w:t>א</w:t>
      </w:r>
      <w:r>
        <w:rPr>
          <w:rStyle w:val="default"/>
          <w:rFonts w:hint="cs"/>
          <w:rtl/>
        </w:rPr>
        <w:t xml:space="preserve"> תינתן ערבות במישרין או בעקיפין, בכסף, בשווה כסף, בשירות או בכל טובת הנאה אחרת, להבטחת ביצועם של הסכם או של התחייבות כאמור בסעיף זה, ולא יהיה </w:t>
      </w:r>
      <w:r>
        <w:rPr>
          <w:rStyle w:val="default"/>
          <w:rtl/>
        </w:rPr>
        <w:t>תו</w:t>
      </w:r>
      <w:r>
        <w:rPr>
          <w:rStyle w:val="default"/>
          <w:rFonts w:hint="cs"/>
          <w:rtl/>
        </w:rPr>
        <w:t>קף לערבות כאמור."</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אחד מבאי-כח העותרות ב-בג"ץ 2594/20, </w:t>
      </w:r>
      <w:r w:rsidRPr="00C52605">
        <w:rPr>
          <w:rFonts w:ascii="Century" w:hAnsi="Century" w:cs="Miriam" w:hint="cs"/>
          <w:b/>
          <w:spacing w:val="0"/>
          <w:szCs w:val="24"/>
          <w:rtl/>
        </w:rPr>
        <w:t>עו"ד אביגדור פלדמן</w:t>
      </w:r>
      <w:r>
        <w:rPr>
          <w:rFonts w:hint="cs"/>
          <w:rtl/>
        </w:rPr>
        <w:t xml:space="preserve">, ניסה לטעון כי ההסכמים הקואליציוניים שנחתמו בין </w:t>
      </w:r>
      <w:r w:rsidRPr="00C009C0">
        <w:rPr>
          <w:rFonts w:ascii="Century" w:hAnsi="Century" w:cs="Miriam" w:hint="cs"/>
          <w:b/>
          <w:spacing w:val="0"/>
          <w:szCs w:val="24"/>
          <w:rtl/>
        </w:rPr>
        <w:t>סיעת הליכוד</w:t>
      </w:r>
      <w:r w:rsidRPr="00C009C0">
        <w:rPr>
          <w:rFonts w:hint="cs"/>
          <w:rtl/>
        </w:rPr>
        <w:t xml:space="preserve"> </w:t>
      </w:r>
      <w:r>
        <w:rPr>
          <w:rFonts w:hint="cs"/>
          <w:rtl/>
        </w:rPr>
        <w:t xml:space="preserve">לבין </w:t>
      </w:r>
      <w:r w:rsidRPr="00C009C0">
        <w:rPr>
          <w:rFonts w:ascii="Century" w:hAnsi="Century" w:cs="Miriam" w:hint="cs"/>
          <w:b/>
          <w:spacing w:val="0"/>
          <w:szCs w:val="24"/>
          <w:rtl/>
        </w:rPr>
        <w:t>סיעת כחול לבן</w:t>
      </w:r>
      <w:r w:rsidRPr="00C009C0">
        <w:rPr>
          <w:rFonts w:hint="cs"/>
          <w:rtl/>
        </w:rPr>
        <w:t xml:space="preserve"> </w:t>
      </w:r>
      <w:r>
        <w:rPr>
          <w:rFonts w:hint="cs"/>
          <w:rtl/>
        </w:rPr>
        <w:t xml:space="preserve">ואחרים אכן נופלים למסגרת הנ"ל, ואולם הדבר לא הוכח (להרחבה נוספת בסוגיות שעלו בעקבות ההסכמים הקואליציוניים שנחתמו </w:t>
      </w:r>
      <w:r>
        <w:rPr>
          <w:rtl/>
        </w:rPr>
        <w:t>–</w:t>
      </w:r>
      <w:r>
        <w:rPr>
          <w:rFonts w:hint="cs"/>
          <w:rtl/>
        </w:rPr>
        <w:t xml:space="preserve"> עיינו בפיסקאות 15-11 שלהלן). </w:t>
      </w:r>
    </w:p>
    <w:p w:rsidR="008835E9" w:rsidRDefault="008835E9" w:rsidP="008835E9">
      <w:pPr>
        <w:pStyle w:val="Ruller40"/>
        <w:rPr>
          <w:rtl/>
        </w:rPr>
      </w:pPr>
    </w:p>
    <w:p w:rsidR="008835E9" w:rsidRDefault="008835E9" w:rsidP="008835E9">
      <w:pPr>
        <w:pStyle w:val="Ruller40"/>
        <w:rPr>
          <w:rtl/>
        </w:rPr>
      </w:pPr>
      <w:r>
        <w:rPr>
          <w:rFonts w:hint="cs"/>
          <w:rtl/>
        </w:rPr>
        <w:t>6.</w:t>
      </w:r>
      <w:r>
        <w:rPr>
          <w:rFonts w:hint="cs"/>
          <w:rtl/>
        </w:rPr>
        <w:tab/>
        <w:t xml:space="preserve">חלופות נוספות שהעלו העותרים </w:t>
      </w:r>
      <w:r>
        <w:rPr>
          <w:rtl/>
        </w:rPr>
        <w:t>–</w:t>
      </w:r>
      <w:r>
        <w:rPr>
          <w:rFonts w:hint="cs"/>
          <w:rtl/>
        </w:rPr>
        <w:t xml:space="preserve"> מעבר להחלטה של כב' הנשיא, שנידונה לעיל </w:t>
      </w:r>
      <w:r>
        <w:rPr>
          <w:rtl/>
        </w:rPr>
        <w:t>–</w:t>
      </w:r>
      <w:r>
        <w:rPr>
          <w:rFonts w:hint="cs"/>
          <w:rtl/>
        </w:rPr>
        <w:t xml:space="preserve"> כדי להצדיק התערבות שיפוטית אפשרית של בג"ץ בהליך הטלת התפקיד להרכבת הממשלה לפי בקשת רוב חברי הכנסת, מיקדו עצמן בשלושה מופעים:</w:t>
      </w:r>
    </w:p>
    <w:p w:rsidR="008835E9" w:rsidRDefault="008835E9" w:rsidP="008835E9">
      <w:pPr>
        <w:pStyle w:val="Ruller40"/>
        <w:rPr>
          <w:rtl/>
        </w:rPr>
      </w:pPr>
      <w:r>
        <w:rPr>
          <w:rtl/>
        </w:rPr>
        <w:tab/>
      </w:r>
      <w:r>
        <w:rPr>
          <w:rFonts w:hint="cs"/>
          <w:rtl/>
        </w:rPr>
        <w:t xml:space="preserve">א) בהתנהלות יו"ר הכנסת (שאמור, לשיטתם, </w:t>
      </w:r>
      <w:r w:rsidRPr="0058517A">
        <w:rPr>
          <w:rFonts w:hint="cs"/>
          <w:b/>
          <w:bCs/>
          <w:rtl/>
        </w:rPr>
        <w:t>שלא</w:t>
      </w:r>
      <w:r>
        <w:rPr>
          <w:rFonts w:hint="cs"/>
          <w:rtl/>
        </w:rPr>
        <w:t xml:space="preserve"> לקבוע ישיבה של מליאת הכנסת לצורך כינון הממשלה, כאשר המועמד לראשות הממשלה הוא מי שעומד נגדו כתב אישום).</w:t>
      </w:r>
    </w:p>
    <w:p w:rsidR="008835E9" w:rsidRDefault="008835E9" w:rsidP="008835E9">
      <w:pPr>
        <w:pStyle w:val="Ruller40"/>
        <w:rPr>
          <w:rtl/>
        </w:rPr>
      </w:pPr>
      <w:r>
        <w:rPr>
          <w:rtl/>
        </w:rPr>
        <w:tab/>
      </w:r>
      <w:r>
        <w:rPr>
          <w:rFonts w:hint="cs"/>
          <w:rtl/>
        </w:rPr>
        <w:t xml:space="preserve">ב) בהסכמה של מועמד כזה (האמור, לתפיסתם, </w:t>
      </w:r>
      <w:r w:rsidRPr="0058517A">
        <w:rPr>
          <w:rFonts w:hint="cs"/>
          <w:b/>
          <w:bCs/>
          <w:rtl/>
        </w:rPr>
        <w:t>לסרב</w:t>
      </w:r>
      <w:r>
        <w:rPr>
          <w:rFonts w:hint="cs"/>
          <w:rtl/>
        </w:rPr>
        <w:t xml:space="preserve"> לקבל על עצמו את התפקיד). </w:t>
      </w:r>
    </w:p>
    <w:p w:rsidR="008835E9" w:rsidRDefault="008835E9" w:rsidP="008835E9">
      <w:pPr>
        <w:pStyle w:val="Ruller40"/>
        <w:rPr>
          <w:rtl/>
        </w:rPr>
      </w:pPr>
      <w:r>
        <w:rPr>
          <w:rtl/>
        </w:rPr>
        <w:tab/>
      </w:r>
      <w:r>
        <w:rPr>
          <w:rFonts w:hint="cs"/>
          <w:rtl/>
        </w:rPr>
        <w:t>ג) בשלילה של חתימת חברי הכנסת החותמים על הבקשה (שאמורים, לגישתם, לבחור רק חבר הכנסת שאין עומד כתב אישום כנגדו).</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להבנתי </w:t>
      </w:r>
      <w:r>
        <w:rPr>
          <w:rtl/>
        </w:rPr>
        <w:t>–</w:t>
      </w:r>
      <w:r>
        <w:rPr>
          <w:rFonts w:hint="cs"/>
          <w:rtl/>
        </w:rPr>
        <w:t xml:space="preserve"> אין לקבל אף אחת מהחלופות הנ"ל, והנימוקים לכך ינתנו להלן.</w:t>
      </w:r>
    </w:p>
    <w:p w:rsidR="008835E9" w:rsidRDefault="008835E9" w:rsidP="008835E9">
      <w:pPr>
        <w:pStyle w:val="Ruller40"/>
        <w:rPr>
          <w:rtl/>
        </w:rPr>
      </w:pPr>
    </w:p>
    <w:p w:rsidR="008835E9" w:rsidRDefault="008835E9" w:rsidP="008835E9">
      <w:pPr>
        <w:pStyle w:val="Ruller40"/>
        <w:rPr>
          <w:rtl/>
        </w:rPr>
      </w:pPr>
      <w:r>
        <w:rPr>
          <w:rFonts w:hint="cs"/>
          <w:rtl/>
        </w:rPr>
        <w:t>7.</w:t>
      </w:r>
      <w:r>
        <w:rPr>
          <w:rFonts w:hint="cs"/>
          <w:rtl/>
        </w:rPr>
        <w:tab/>
        <w:t xml:space="preserve">יו"ר הכנסת מכח סעיף 13(ב) </w:t>
      </w:r>
      <w:r w:rsidRPr="00153911">
        <w:rPr>
          <w:rFonts w:ascii="Century" w:hAnsi="Century" w:cs="Miriam" w:hint="cs"/>
          <w:b/>
          <w:spacing w:val="0"/>
          <w:szCs w:val="24"/>
          <w:rtl/>
        </w:rPr>
        <w:t>לחוק-יסוד: הממשלה</w:t>
      </w:r>
      <w:r w:rsidRPr="00153911">
        <w:rPr>
          <w:rFonts w:hint="cs"/>
          <w:rtl/>
        </w:rPr>
        <w:t xml:space="preserve"> </w:t>
      </w:r>
      <w:r w:rsidRPr="00153911">
        <w:rPr>
          <w:rFonts w:hint="cs"/>
          <w:b/>
          <w:bCs/>
          <w:rtl/>
        </w:rPr>
        <w:t>חייב</w:t>
      </w:r>
      <w:r>
        <w:rPr>
          <w:rFonts w:hint="cs"/>
          <w:rtl/>
        </w:rPr>
        <w:t xml:space="preserve"> להועיד ישיבה לצורך כינון הממשלה בתוך שבעה ימים מעת שהוא מסר לכנסת כי חבר הכנסת, שתפקיד הרכבת הממשלה הוטל עליו הודיע, לנשיא ולו, כי הצליח להרכיב ממשלה (עיינו: </w:t>
      </w:r>
      <w:r w:rsidRPr="008172E1">
        <w:rPr>
          <w:rFonts w:ascii="Century" w:hAnsi="Century" w:cs="Miriam" w:hint="cs"/>
          <w:b/>
          <w:spacing w:val="0"/>
          <w:szCs w:val="24"/>
          <w:rtl/>
        </w:rPr>
        <w:t>רובינשטיין ומדינה</w:t>
      </w:r>
      <w:r>
        <w:rPr>
          <w:rFonts w:hint="cs"/>
          <w:rtl/>
        </w:rPr>
        <w:t xml:space="preserve">, כרך ב', עמ' 826, וכן: </w:t>
      </w:r>
      <w:r w:rsidRPr="00095AAF">
        <w:rPr>
          <w:rFonts w:hint="cs"/>
          <w:rtl/>
        </w:rPr>
        <w:t xml:space="preserve">שמעון שיטרית, </w:t>
      </w:r>
      <w:r w:rsidRPr="00095AAF">
        <w:rPr>
          <w:rFonts w:ascii="Century" w:hAnsi="Century" w:cs="Miriam" w:hint="cs"/>
          <w:b/>
          <w:spacing w:val="0"/>
          <w:szCs w:val="24"/>
          <w:rtl/>
        </w:rPr>
        <w:t>הממשלה: הרשות המבצעת, פירוש לחוק-יסוד: הממשלה במסגרת האסופה: פירוש לחוקי-היסוד בעריכת פרופ' יצחק זמיר</w:t>
      </w:r>
      <w:r>
        <w:rPr>
          <w:rFonts w:hint="cs"/>
          <w:rtl/>
        </w:rPr>
        <w:t>, כרך א' בעמ' 373</w:t>
      </w:r>
      <w:r w:rsidRPr="00095AAF">
        <w:rPr>
          <w:rFonts w:hint="cs"/>
          <w:rtl/>
        </w:rPr>
        <w:t xml:space="preserve"> (התשע"ח-2018) (להלן: </w:t>
      </w:r>
      <w:r w:rsidRPr="00A179FB">
        <w:rPr>
          <w:rFonts w:ascii="Century" w:hAnsi="Century" w:cs="Miriam" w:hint="cs"/>
          <w:b/>
          <w:spacing w:val="0"/>
          <w:szCs w:val="24"/>
          <w:rtl/>
        </w:rPr>
        <w:t>שיטרית</w:t>
      </w:r>
      <w:r w:rsidRPr="00095AAF">
        <w:rPr>
          <w:rFonts w:hint="cs"/>
          <w:rtl/>
        </w:rPr>
        <w:t>)</w:t>
      </w:r>
      <w:r>
        <w:rPr>
          <w:rFonts w:hint="cs"/>
          <w:rtl/>
        </w:rPr>
        <w:t xml:space="preserve">, שדן בקושיה האם יו"ר הכנסת רשאי להשהות את מסירת ההודעה לכנסת, שהוא קיבל כאמור (מאת מי שתפקיד הרכבת הממשלה הוטל עליו) </w:t>
      </w:r>
      <w:r>
        <w:rPr>
          <w:rtl/>
        </w:rPr>
        <w:t>–</w:t>
      </w:r>
      <w:r>
        <w:rPr>
          <w:rFonts w:hint="cs"/>
          <w:rtl/>
        </w:rPr>
        <w:t xml:space="preserve"> כך שתקופת שבעת הימים תורחב למעשה, ומגיע למסקנה שעל יו"ר הכנסת לעשות כן במהירות הראויה).</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הנה כי כן </w:t>
      </w:r>
      <w:r>
        <w:rPr>
          <w:rtl/>
        </w:rPr>
        <w:t>–</w:t>
      </w:r>
      <w:r>
        <w:rPr>
          <w:rFonts w:hint="cs"/>
          <w:rtl/>
        </w:rPr>
        <w:t xml:space="preserve"> ליו"ר הכנסת </w:t>
      </w:r>
      <w:r w:rsidRPr="00086A61">
        <w:rPr>
          <w:rFonts w:hint="cs"/>
          <w:b/>
          <w:bCs/>
          <w:rtl/>
        </w:rPr>
        <w:t>אין</w:t>
      </w:r>
      <w:r>
        <w:rPr>
          <w:rFonts w:hint="cs"/>
          <w:rtl/>
        </w:rPr>
        <w:t xml:space="preserve"> שיקול דעת בנושא העומד בפנינו, מה גם שהיו"ר חייב לפעול לפי רצון </w:t>
      </w:r>
      <w:r w:rsidRPr="0072673E">
        <w:rPr>
          <w:rFonts w:hint="cs"/>
          <w:b/>
          <w:bCs/>
          <w:rtl/>
        </w:rPr>
        <w:t>רוב</w:t>
      </w:r>
      <w:r>
        <w:rPr>
          <w:rFonts w:hint="cs"/>
          <w:rtl/>
        </w:rPr>
        <w:t xml:space="preserve"> חברי הכנסת (השוו להלכה ב-בג"ץ 2144/20 </w:t>
      </w:r>
      <w:r w:rsidRPr="00512641">
        <w:rPr>
          <w:rFonts w:ascii="Century" w:hAnsi="Century" w:cs="Miriam" w:hint="cs"/>
          <w:b/>
          <w:spacing w:val="0"/>
          <w:szCs w:val="24"/>
          <w:rtl/>
        </w:rPr>
        <w:t>התנועה למען איכות השלטון בישראל נ' יושב ראש הכנסת</w:t>
      </w:r>
      <w:r>
        <w:rPr>
          <w:rFonts w:hint="cs"/>
          <w:rtl/>
        </w:rPr>
        <w:t xml:space="preserve"> (פסק דין חלקי מתאריך 23.03.2020, ופסק דין והחלטה מתאריך 25.03.2020); כן עיינו לגבי כוחו של הרוב: </w:t>
      </w:r>
      <w:r w:rsidRPr="00790EDC">
        <w:rPr>
          <w:rFonts w:asciiTheme="majorBidi" w:hAnsiTheme="majorBidi" w:cstheme="majorBidi"/>
          <w:smallCaps/>
        </w:rPr>
        <w:t>Liav</w:t>
      </w:r>
      <w:r w:rsidRPr="00790EDC">
        <w:rPr>
          <w:rFonts w:asciiTheme="majorBidi" w:hAnsiTheme="majorBidi" w:cstheme="majorBidi"/>
        </w:rPr>
        <w:t xml:space="preserve"> </w:t>
      </w:r>
      <w:r w:rsidRPr="00790EDC">
        <w:rPr>
          <w:rFonts w:asciiTheme="majorBidi" w:hAnsiTheme="majorBidi" w:cstheme="majorBidi"/>
          <w:smallCaps/>
        </w:rPr>
        <w:t>Orgad</w:t>
      </w:r>
      <w:r w:rsidRPr="00790EDC">
        <w:rPr>
          <w:rFonts w:asciiTheme="majorBidi" w:hAnsiTheme="majorBidi" w:cstheme="majorBidi"/>
        </w:rPr>
        <w:t xml:space="preserve">, </w:t>
      </w:r>
      <w:r w:rsidRPr="00790EDC">
        <w:rPr>
          <w:rFonts w:asciiTheme="majorBidi" w:hAnsiTheme="majorBidi" w:cstheme="majorBidi"/>
          <w:smallCaps/>
        </w:rPr>
        <w:t>The</w:t>
      </w:r>
      <w:r w:rsidRPr="00790EDC">
        <w:rPr>
          <w:rFonts w:asciiTheme="majorBidi" w:hAnsiTheme="majorBidi" w:cstheme="majorBidi"/>
        </w:rPr>
        <w:t xml:space="preserve"> </w:t>
      </w:r>
      <w:r w:rsidRPr="00790EDC">
        <w:rPr>
          <w:rFonts w:asciiTheme="majorBidi" w:hAnsiTheme="majorBidi" w:cstheme="majorBidi"/>
          <w:smallCaps/>
        </w:rPr>
        <w:t>Cultural</w:t>
      </w:r>
      <w:r w:rsidRPr="00790EDC">
        <w:rPr>
          <w:rFonts w:asciiTheme="majorBidi" w:hAnsiTheme="majorBidi" w:cstheme="majorBidi"/>
        </w:rPr>
        <w:t xml:space="preserve"> </w:t>
      </w:r>
      <w:r w:rsidRPr="00790EDC">
        <w:rPr>
          <w:rFonts w:asciiTheme="majorBidi" w:hAnsiTheme="majorBidi" w:cstheme="majorBidi"/>
          <w:smallCaps/>
        </w:rPr>
        <w:t>Defense</w:t>
      </w:r>
      <w:r w:rsidRPr="00790EDC">
        <w:rPr>
          <w:rFonts w:asciiTheme="majorBidi" w:hAnsiTheme="majorBidi" w:cstheme="majorBidi"/>
        </w:rPr>
        <w:t xml:space="preserve"> </w:t>
      </w:r>
      <w:r w:rsidRPr="00790EDC">
        <w:rPr>
          <w:rFonts w:asciiTheme="majorBidi" w:hAnsiTheme="majorBidi" w:cstheme="majorBidi"/>
          <w:smallCaps/>
        </w:rPr>
        <w:t>of</w:t>
      </w:r>
      <w:r w:rsidRPr="00790EDC">
        <w:rPr>
          <w:rFonts w:asciiTheme="majorBidi" w:hAnsiTheme="majorBidi" w:cstheme="majorBidi"/>
        </w:rPr>
        <w:t xml:space="preserve"> N</w:t>
      </w:r>
      <w:r w:rsidRPr="00790EDC">
        <w:rPr>
          <w:rFonts w:asciiTheme="majorBidi" w:hAnsiTheme="majorBidi" w:cstheme="majorBidi"/>
          <w:smallCaps/>
        </w:rPr>
        <w:t>ations</w:t>
      </w:r>
      <w:r w:rsidRPr="00790EDC">
        <w:rPr>
          <w:rFonts w:asciiTheme="majorBidi" w:hAnsiTheme="majorBidi" w:cstheme="majorBidi"/>
        </w:rPr>
        <w:t xml:space="preserve">: </w:t>
      </w:r>
      <w:r w:rsidRPr="00790EDC">
        <w:rPr>
          <w:rFonts w:asciiTheme="majorBidi" w:hAnsiTheme="majorBidi" w:cstheme="majorBidi"/>
          <w:smallCaps/>
        </w:rPr>
        <w:t>A</w:t>
      </w:r>
      <w:r>
        <w:rPr>
          <w:rFonts w:asciiTheme="majorBidi" w:hAnsiTheme="majorBidi" w:cstheme="majorBidi"/>
        </w:rPr>
        <w:t xml:space="preserve"> </w:t>
      </w:r>
      <w:r w:rsidRPr="00790EDC">
        <w:rPr>
          <w:rFonts w:asciiTheme="majorBidi" w:hAnsiTheme="majorBidi" w:cstheme="majorBidi"/>
          <w:smallCaps/>
        </w:rPr>
        <w:t>Liberal</w:t>
      </w:r>
      <w:r w:rsidRPr="00790EDC">
        <w:rPr>
          <w:rFonts w:asciiTheme="majorBidi" w:hAnsiTheme="majorBidi" w:cstheme="majorBidi"/>
        </w:rPr>
        <w:t xml:space="preserve"> </w:t>
      </w:r>
      <w:r w:rsidRPr="00790EDC">
        <w:rPr>
          <w:rFonts w:asciiTheme="majorBidi" w:hAnsiTheme="majorBidi" w:cstheme="majorBidi"/>
          <w:smallCaps/>
        </w:rPr>
        <w:t>Theory</w:t>
      </w:r>
      <w:r w:rsidRPr="00790EDC">
        <w:rPr>
          <w:rFonts w:asciiTheme="majorBidi" w:hAnsiTheme="majorBidi" w:cstheme="majorBidi"/>
        </w:rPr>
        <w:t xml:space="preserve"> </w:t>
      </w:r>
      <w:r w:rsidRPr="00790EDC">
        <w:rPr>
          <w:rFonts w:asciiTheme="majorBidi" w:hAnsiTheme="majorBidi" w:cstheme="majorBidi"/>
          <w:smallCaps/>
        </w:rPr>
        <w:t>of</w:t>
      </w:r>
      <w:r w:rsidRPr="00790EDC">
        <w:rPr>
          <w:rFonts w:asciiTheme="majorBidi" w:hAnsiTheme="majorBidi" w:cstheme="majorBidi"/>
        </w:rPr>
        <w:t xml:space="preserve"> M</w:t>
      </w:r>
      <w:r w:rsidRPr="00790EDC">
        <w:rPr>
          <w:rFonts w:asciiTheme="majorBidi" w:hAnsiTheme="majorBidi" w:cstheme="majorBidi"/>
          <w:smallCaps/>
        </w:rPr>
        <w:t>ajority</w:t>
      </w:r>
      <w:r w:rsidRPr="00790EDC">
        <w:rPr>
          <w:rFonts w:asciiTheme="majorBidi" w:hAnsiTheme="majorBidi" w:cstheme="majorBidi"/>
        </w:rPr>
        <w:t xml:space="preserve"> R</w:t>
      </w:r>
      <w:r w:rsidRPr="00790EDC">
        <w:rPr>
          <w:rFonts w:asciiTheme="majorBidi" w:hAnsiTheme="majorBidi" w:cstheme="majorBidi"/>
          <w:smallCaps/>
        </w:rPr>
        <w:t>ights</w:t>
      </w:r>
      <w:r w:rsidRPr="00790EDC">
        <w:rPr>
          <w:rFonts w:asciiTheme="majorBidi" w:hAnsiTheme="majorBidi" w:cstheme="majorBidi"/>
        </w:rPr>
        <w:t xml:space="preserve"> (Oxford University Press, 2015)</w:t>
      </w:r>
      <w:r>
        <w:rPr>
          <w:rFonts w:asciiTheme="majorBidi" w:hAnsiTheme="majorBidi" w:cstheme="majorBidi" w:hint="cs"/>
          <w:rtl/>
        </w:rPr>
        <w:t>.</w:t>
      </w:r>
    </w:p>
    <w:p w:rsidR="008835E9" w:rsidRDefault="008835E9" w:rsidP="008835E9">
      <w:pPr>
        <w:pStyle w:val="Ruller40"/>
        <w:rPr>
          <w:rtl/>
        </w:rPr>
      </w:pPr>
    </w:p>
    <w:p w:rsidR="008835E9" w:rsidRDefault="008835E9" w:rsidP="008835E9">
      <w:pPr>
        <w:pStyle w:val="Ruller40"/>
        <w:rPr>
          <w:rtl/>
        </w:rPr>
      </w:pPr>
      <w:r>
        <w:rPr>
          <w:rtl/>
        </w:rPr>
        <w:tab/>
      </w:r>
      <w:r>
        <w:rPr>
          <w:rFonts w:hint="cs"/>
          <w:rtl/>
        </w:rPr>
        <w:t>ראוי עם זאת לציין פה, כי לשיטתי הודעת המיועד להרכיב את הממשלה על-פי סעיף 13(ב) ל</w:t>
      </w:r>
      <w:r w:rsidRPr="000D6600">
        <w:rPr>
          <w:rFonts w:ascii="Century" w:hAnsi="Century" w:cs="Miriam" w:hint="cs"/>
          <w:b/>
          <w:spacing w:val="0"/>
          <w:szCs w:val="24"/>
          <w:rtl/>
        </w:rPr>
        <w:t xml:space="preserve">חוק-יסוד: הממשלה </w:t>
      </w:r>
      <w:r>
        <w:rPr>
          <w:rFonts w:hint="cs"/>
          <w:rtl/>
        </w:rPr>
        <w:t xml:space="preserve">כי עלה בידו להרכיב ממשלה </w:t>
      </w:r>
      <w:r>
        <w:rPr>
          <w:rtl/>
        </w:rPr>
        <w:t>–</w:t>
      </w:r>
      <w:r>
        <w:rPr>
          <w:rFonts w:hint="cs"/>
          <w:rtl/>
        </w:rPr>
        <w:t xml:space="preserve"> צריכה </w:t>
      </w:r>
      <w:r w:rsidRPr="00790EDC">
        <w:rPr>
          <w:rFonts w:hint="cs"/>
          <w:b/>
          <w:bCs/>
          <w:rtl/>
        </w:rPr>
        <w:t>להתבסס על המצב המשפטי הקיים</w:t>
      </w:r>
      <w:r>
        <w:rPr>
          <w:rFonts w:hint="cs"/>
          <w:rtl/>
        </w:rPr>
        <w:t xml:space="preserve">. עם זאת, נראה שניתן להסכים </w:t>
      </w:r>
      <w:r>
        <w:rPr>
          <w:rtl/>
        </w:rPr>
        <w:t>–</w:t>
      </w:r>
      <w:r>
        <w:rPr>
          <w:rFonts w:hint="cs"/>
          <w:rtl/>
        </w:rPr>
        <w:t xml:space="preserve"> במסגרת ההסכמים הקואליציוניים </w:t>
      </w:r>
      <w:r>
        <w:rPr>
          <w:rtl/>
        </w:rPr>
        <w:t>–</w:t>
      </w:r>
      <w:r>
        <w:rPr>
          <w:rFonts w:hint="cs"/>
          <w:rtl/>
        </w:rPr>
        <w:t xml:space="preserve"> כי הצדדים להם יפעלו לשינוי התשתית הקונסטיטוציונית מיד בסמוך לאחר כינון הממשלה, ובלבד שזו תושבע, בשלב ראשון, בהתאם למצב החוקתי ששרר בעת מתן ההודעה (עיינו בחוות דעתי החולקת ב-בג"ץ 3234/15 </w:t>
      </w:r>
      <w:r w:rsidRPr="0072673E">
        <w:rPr>
          <w:rFonts w:ascii="Century" w:hAnsi="Century" w:cs="Miriam" w:hint="cs"/>
          <w:b/>
          <w:spacing w:val="0"/>
          <w:szCs w:val="24"/>
          <w:rtl/>
        </w:rPr>
        <w:t>מפלגת יש עתיד בראשות יאיר לפיד נ' יושב-ראש הכנסת</w:t>
      </w:r>
      <w:r>
        <w:rPr>
          <w:rFonts w:hint="cs"/>
          <w:rtl/>
        </w:rPr>
        <w:t xml:space="preserve"> (09.07.2015) (להלן: </w:t>
      </w:r>
      <w:r w:rsidRPr="006765AC">
        <w:rPr>
          <w:rFonts w:ascii="Century" w:hAnsi="Century" w:cs="Miriam" w:hint="cs"/>
          <w:b/>
          <w:spacing w:val="0"/>
          <w:szCs w:val="24"/>
          <w:rtl/>
        </w:rPr>
        <w:t>עניין יש עתיד</w:t>
      </w:r>
      <w:r>
        <w:rPr>
          <w:rFonts w:hint="cs"/>
          <w:rtl/>
        </w:rPr>
        <w:t xml:space="preserve">)). האמור סויג בעבר בכך שאם תיקון חוקי-היסוד הרלבנטיים אושר </w:t>
      </w:r>
      <w:r w:rsidRPr="003D4FDB">
        <w:rPr>
          <w:rFonts w:hint="cs"/>
          <w:b/>
          <w:bCs/>
          <w:rtl/>
        </w:rPr>
        <w:t>ברוב</w:t>
      </w:r>
      <w:r>
        <w:rPr>
          <w:rFonts w:hint="cs"/>
          <w:rtl/>
        </w:rPr>
        <w:t xml:space="preserve"> של חברי הכנסת בשלוש קריאות, כנדרש על-פי סעיף 44(א) ל</w:t>
      </w:r>
      <w:r w:rsidRPr="006765AC">
        <w:rPr>
          <w:rFonts w:ascii="Century" w:hAnsi="Century" w:cs="Miriam" w:hint="cs"/>
          <w:b/>
          <w:spacing w:val="0"/>
          <w:szCs w:val="24"/>
          <w:rtl/>
        </w:rPr>
        <w:t>חוק-יסוד: הממשלה</w:t>
      </w:r>
      <w:r>
        <w:rPr>
          <w:rFonts w:ascii="Century" w:hAnsi="Century" w:cs="Miriam" w:hint="cs"/>
          <w:b/>
          <w:spacing w:val="0"/>
          <w:szCs w:val="24"/>
          <w:rtl/>
        </w:rPr>
        <w:t xml:space="preserve"> </w:t>
      </w:r>
      <w:r w:rsidRPr="003D4FDB">
        <w:rPr>
          <w:rFonts w:hint="cs"/>
          <w:rtl/>
        </w:rPr>
        <w:t>טרם ההשבעה</w:t>
      </w:r>
      <w:r>
        <w:rPr>
          <w:rFonts w:hint="cs"/>
          <w:rtl/>
        </w:rPr>
        <w:t>, והממשלה (במתכונתה המורחבת) כוננה וקיבלה את אמון הכנסת על-פי סעיף 13 ל</w:t>
      </w:r>
      <w:r w:rsidRPr="006765AC">
        <w:rPr>
          <w:rFonts w:ascii="Century" w:hAnsi="Century" w:cs="Miriam" w:hint="cs"/>
          <w:b/>
          <w:spacing w:val="0"/>
          <w:szCs w:val="24"/>
          <w:rtl/>
        </w:rPr>
        <w:t xml:space="preserve">חוק-יסוד: הממשלה </w:t>
      </w:r>
      <w:r>
        <w:rPr>
          <w:rtl/>
        </w:rPr>
        <w:t>–</w:t>
      </w:r>
      <w:r>
        <w:rPr>
          <w:rFonts w:hint="cs"/>
          <w:rtl/>
        </w:rPr>
        <w:t xml:space="preserve"> הליקוי האמור נרפא בדיעבד (ראו: </w:t>
      </w:r>
      <w:r w:rsidRPr="006765AC">
        <w:rPr>
          <w:rFonts w:ascii="Century" w:hAnsi="Century" w:cs="Miriam" w:hint="cs"/>
          <w:b/>
          <w:spacing w:val="0"/>
          <w:szCs w:val="24"/>
          <w:rtl/>
        </w:rPr>
        <w:t>עניין יש עתיד</w:t>
      </w:r>
      <w:r>
        <w:rPr>
          <w:rFonts w:hint="cs"/>
          <w:rtl/>
        </w:rPr>
        <w:t xml:space="preserve">; דנג"ץ 5806/15 </w:t>
      </w:r>
      <w:r w:rsidRPr="000D6600">
        <w:rPr>
          <w:rFonts w:ascii="Century" w:hAnsi="Century" w:cs="Miriam" w:hint="cs"/>
          <w:b/>
          <w:spacing w:val="0"/>
          <w:szCs w:val="24"/>
          <w:rtl/>
        </w:rPr>
        <w:t xml:space="preserve">התנועה למען איכות השלטון בישראל נ' ראש ממשלת ישראל </w:t>
      </w:r>
      <w:r>
        <w:rPr>
          <w:rFonts w:hint="cs"/>
          <w:rtl/>
        </w:rPr>
        <w:t xml:space="preserve">(28.10.2015)), ואולם לגישתי </w:t>
      </w:r>
      <w:r>
        <w:rPr>
          <w:rtl/>
        </w:rPr>
        <w:t>–</w:t>
      </w:r>
      <w:r>
        <w:rPr>
          <w:rFonts w:hint="cs"/>
          <w:rtl/>
        </w:rPr>
        <w:t xml:space="preserve"> אין לנהוג כך מלכתחילה. </w:t>
      </w:r>
    </w:p>
    <w:p w:rsidR="008835E9" w:rsidRDefault="008835E9" w:rsidP="008835E9">
      <w:pPr>
        <w:pStyle w:val="Ruller40"/>
        <w:rPr>
          <w:rtl/>
        </w:rPr>
      </w:pPr>
    </w:p>
    <w:p w:rsidR="008835E9" w:rsidRDefault="008835E9" w:rsidP="008835E9">
      <w:pPr>
        <w:pStyle w:val="Ruller40"/>
      </w:pPr>
      <w:r>
        <w:rPr>
          <w:rFonts w:hint="cs"/>
          <w:rtl/>
        </w:rPr>
        <w:t>8.</w:t>
      </w:r>
      <w:r>
        <w:rPr>
          <w:rFonts w:hint="cs"/>
          <w:rtl/>
        </w:rPr>
        <w:tab/>
        <w:t xml:space="preserve">בניגוד לדעת חברתי, השופטת </w:t>
      </w:r>
      <w:r w:rsidRPr="00342342">
        <w:rPr>
          <w:rFonts w:ascii="Century" w:hAnsi="Century" w:cs="Miriam" w:hint="cs"/>
          <w:b/>
          <w:spacing w:val="0"/>
          <w:szCs w:val="24"/>
          <w:rtl/>
        </w:rPr>
        <w:t>ד' ברק-ארז</w:t>
      </w:r>
      <w:r>
        <w:rPr>
          <w:rFonts w:hint="cs"/>
          <w:rtl/>
        </w:rPr>
        <w:t xml:space="preserve"> (וממה שעשוי להשתמע ממאמרו של פרופ' </w:t>
      </w:r>
      <w:r w:rsidRPr="00342342">
        <w:rPr>
          <w:rFonts w:ascii="Century" w:hAnsi="Century" w:cs="Miriam" w:hint="cs"/>
          <w:b/>
          <w:spacing w:val="0"/>
          <w:szCs w:val="24"/>
          <w:rtl/>
        </w:rPr>
        <w:t>ד</w:t>
      </w:r>
      <w:r>
        <w:rPr>
          <w:rFonts w:ascii="Century" w:hAnsi="Century" w:cs="Miriam" w:hint="cs"/>
          <w:b/>
          <w:spacing w:val="0"/>
          <w:szCs w:val="24"/>
          <w:rtl/>
        </w:rPr>
        <w:t>ני</w:t>
      </w:r>
      <w:r w:rsidRPr="00342342">
        <w:rPr>
          <w:rFonts w:ascii="Century" w:hAnsi="Century" w:cs="Miriam" w:hint="cs"/>
          <w:b/>
          <w:spacing w:val="0"/>
          <w:szCs w:val="24"/>
          <w:rtl/>
        </w:rPr>
        <w:t>אל בן אוליאל</w:t>
      </w:r>
      <w:r>
        <w:rPr>
          <w:rFonts w:hint="cs"/>
          <w:rtl/>
        </w:rPr>
        <w:t xml:space="preserve">, הנזכר בפיסקה 3 לעיל) </w:t>
      </w:r>
      <w:r>
        <w:rPr>
          <w:rtl/>
        </w:rPr>
        <w:t>–</w:t>
      </w:r>
      <w:r>
        <w:rPr>
          <w:rFonts w:hint="cs"/>
          <w:rtl/>
        </w:rPr>
        <w:t xml:space="preserve"> דומה עלי שאין להטיל </w:t>
      </w:r>
      <w:r w:rsidRPr="00942F0A">
        <w:rPr>
          <w:rFonts w:hint="cs"/>
          <w:b/>
          <w:bCs/>
          <w:rtl/>
        </w:rPr>
        <w:t>חבות משפטית</w:t>
      </w:r>
      <w:r>
        <w:rPr>
          <w:rFonts w:hint="cs"/>
          <w:rtl/>
        </w:rPr>
        <w:t xml:space="preserve"> על מי שרוב חברי הכנסת מבקשים להטיל עליו את התפקיד של הרכבת הממשלה </w:t>
      </w:r>
      <w:r w:rsidRPr="001B00F5">
        <w:rPr>
          <w:rFonts w:ascii="Century" w:hAnsi="Century" w:cs="Miriam" w:hint="cs"/>
          <w:b/>
          <w:spacing w:val="0"/>
          <w:szCs w:val="24"/>
          <w:rtl/>
        </w:rPr>
        <w:t>לסרב</w:t>
      </w:r>
      <w:r>
        <w:rPr>
          <w:rFonts w:hint="cs"/>
          <w:rtl/>
        </w:rPr>
        <w:t xml:space="preserve"> לקבל על עצמו את המינוי. הטעם לדבר מבוסס על הכלל שאין לבקש מאדם להשים עצמו רשע,</w:t>
      </w:r>
      <w:r w:rsidDel="00B95A99">
        <w:rPr>
          <w:rFonts w:hint="cs"/>
          <w:rtl/>
        </w:rPr>
        <w:t xml:space="preserve"> </w:t>
      </w:r>
      <w:r>
        <w:rPr>
          <w:rFonts w:hint="cs"/>
          <w:rtl/>
        </w:rPr>
        <w:t xml:space="preserve"> ולכן המועמד, עליו רוצים להטיל את התפקיד, רשאי לכפור באישומים המוטחים בו ולהיאבק על חפותו. מכאן מתבקש שאם המיועד יסרב לקבל על עצמו את התפקיד המוצע לו בשל כתב האישום שהוגש נגדו, עלול יהיה מאן דהוא לראות בסירובו זה מעין הודאה, אף שאין זה כך. זו הסיבה שנפסק כי גם מי שהורשע יכול לבקש הפחתה בעונש, מבלי להודות בהכרח בעבירות שיוחסו לו והורשע בהן (ראו: בג"ץ 6067/11 </w:t>
      </w:r>
      <w:r w:rsidRPr="00E81079">
        <w:rPr>
          <w:rFonts w:ascii="Century" w:hAnsi="Century" w:cs="Miriam" w:hint="cs"/>
          <w:b/>
          <w:spacing w:val="0"/>
          <w:szCs w:val="24"/>
          <w:rtl/>
        </w:rPr>
        <w:t>הפרקליט הצבאי הראשי נ' הוועדה הצבאית לעיון בעונש</w:t>
      </w:r>
      <w:r>
        <w:rPr>
          <w:rFonts w:hint="cs"/>
          <w:rtl/>
        </w:rPr>
        <w:t xml:space="preserve"> (02.02.2012), והאסמכתאות המובאות שם).</w:t>
      </w:r>
    </w:p>
    <w:p w:rsidR="008835E9" w:rsidRDefault="008835E9" w:rsidP="008835E9">
      <w:pPr>
        <w:pStyle w:val="Ruller40"/>
        <w:rPr>
          <w:rtl/>
        </w:rPr>
      </w:pPr>
    </w:p>
    <w:p w:rsidR="008835E9" w:rsidRDefault="008835E9" w:rsidP="008835E9">
      <w:pPr>
        <w:pStyle w:val="Ruller40"/>
      </w:pPr>
      <w:r>
        <w:rPr>
          <w:rFonts w:hint="cs"/>
          <w:rtl/>
        </w:rPr>
        <w:t>9.</w:t>
      </w:r>
      <w:r>
        <w:rPr>
          <w:rFonts w:hint="cs"/>
          <w:rtl/>
        </w:rPr>
        <w:tab/>
        <w:t>אין מקום גם לשלול משפטית את התנהלותם של חברי הכנסת החתומים על בקשה מכוח סעיף 10 ל</w:t>
      </w:r>
      <w:r>
        <w:rPr>
          <w:rFonts w:ascii="Century" w:hAnsi="Century" w:cs="Miriam" w:hint="cs"/>
          <w:b/>
          <w:spacing w:val="0"/>
          <w:szCs w:val="24"/>
          <w:rtl/>
        </w:rPr>
        <w:t>חוק-יסוד: הממשלה</w:t>
      </w:r>
      <w:r>
        <w:rPr>
          <w:rFonts w:ascii="Century" w:hAnsi="Century" w:hint="cs"/>
          <w:rtl/>
        </w:rPr>
        <w:t>, אפילו נקבו בבקשתם את שמו של חבר הכנסת, שתלוי ועומד נגדו כתב אישום.</w:t>
      </w:r>
      <w:r>
        <w:rPr>
          <w:rFonts w:hint="cs"/>
          <w:rtl/>
        </w:rPr>
        <w:t xml:space="preserve"> בנושא זה הנני מסכים עם תפיסתה של חברתי, השופטת </w:t>
      </w:r>
      <w:r>
        <w:rPr>
          <w:rFonts w:ascii="Century" w:hAnsi="Century" w:cs="Miriam" w:hint="cs"/>
          <w:b/>
          <w:spacing w:val="0"/>
          <w:szCs w:val="24"/>
          <w:rtl/>
        </w:rPr>
        <w:t xml:space="preserve">ד' ברק-ארז </w:t>
      </w:r>
      <w:r>
        <w:rPr>
          <w:rFonts w:ascii="Century" w:hAnsi="Century" w:hint="cs"/>
          <w:rtl/>
        </w:rPr>
        <w:t>כי על חברי הכנסת חלה</w:t>
      </w:r>
      <w:r>
        <w:rPr>
          <w:rFonts w:hint="cs"/>
          <w:rtl/>
        </w:rPr>
        <w:t xml:space="preserve"> </w:t>
      </w:r>
      <w:r>
        <w:rPr>
          <w:rFonts w:ascii="Century" w:hAnsi="Century" w:cs="Miriam" w:hint="cs"/>
          <w:b/>
          <w:spacing w:val="0"/>
          <w:szCs w:val="24"/>
          <w:rtl/>
        </w:rPr>
        <w:t>חובת אמון</w:t>
      </w:r>
      <w:r>
        <w:rPr>
          <w:rFonts w:ascii="Century" w:hAnsi="Century" w:hint="cs"/>
          <w:rtl/>
        </w:rPr>
        <w:t xml:space="preserve">. המקורות אליהם היא מפנה בהקשר זה, ובמיוחד מאמרה של פרופ' </w:t>
      </w:r>
      <w:r w:rsidRPr="00744308">
        <w:rPr>
          <w:rFonts w:ascii="Century" w:hAnsi="Century" w:cs="Miriam" w:hint="cs"/>
          <w:b/>
          <w:spacing w:val="0"/>
          <w:szCs w:val="24"/>
          <w:rtl/>
        </w:rPr>
        <w:t>סוזי נבות</w:t>
      </w:r>
      <w:r>
        <w:rPr>
          <w:rFonts w:ascii="Century" w:hAnsi="Century" w:hint="cs"/>
          <w:rtl/>
        </w:rPr>
        <w:t xml:space="preserve"> "חבר כנסת כ'נאמן הציבור'" </w:t>
      </w:r>
      <w:r>
        <w:rPr>
          <w:rFonts w:ascii="Century" w:hAnsi="Century" w:cs="Miriam" w:hint="cs"/>
          <w:b/>
          <w:spacing w:val="0"/>
          <w:szCs w:val="24"/>
          <w:rtl/>
        </w:rPr>
        <w:t>משפטים</w:t>
      </w:r>
      <w:r>
        <w:rPr>
          <w:rFonts w:ascii="Century" w:hAnsi="Century" w:hint="cs"/>
          <w:rtl/>
        </w:rPr>
        <w:t xml:space="preserve"> ל"א 433 (2000) </w:t>
      </w:r>
      <w:r>
        <w:rPr>
          <w:rFonts w:ascii="Century" w:hAnsi="Century"/>
          <w:rtl/>
        </w:rPr>
        <w:t>–</w:t>
      </w:r>
      <w:r>
        <w:rPr>
          <w:rFonts w:ascii="Century" w:hAnsi="Century" w:hint="cs"/>
          <w:rtl/>
        </w:rPr>
        <w:t xml:space="preserve"> מקובלים עלי, וככל שהדבר תלוי בי, העיגון העיקרי לכך נעוץ בהצהרת האמונים של חבר הכנסת</w:t>
      </w:r>
      <w:r>
        <w:rPr>
          <w:rFonts w:hint="cs"/>
          <w:rtl/>
        </w:rPr>
        <w:t>, הקוראת כך:</w:t>
      </w:r>
    </w:p>
    <w:p w:rsidR="008835E9" w:rsidRDefault="008835E9" w:rsidP="008835E9">
      <w:pPr>
        <w:pStyle w:val="Ruller5"/>
        <w:rPr>
          <w:rtl/>
        </w:rPr>
      </w:pPr>
    </w:p>
    <w:p w:rsidR="008835E9" w:rsidRDefault="008835E9" w:rsidP="008835E9">
      <w:pPr>
        <w:pStyle w:val="Ruller5"/>
        <w:rPr>
          <w:rtl/>
        </w:rPr>
      </w:pPr>
      <w:r>
        <w:rPr>
          <w:rFonts w:hint="cs"/>
          <w:rtl/>
        </w:rPr>
        <w:t xml:space="preserve">"חבר הכנסת יצהיר </w:t>
      </w:r>
      <w:r w:rsidRPr="00744308">
        <w:rPr>
          <w:rFonts w:ascii="Century" w:hAnsi="Century" w:cs="Miriam" w:hint="cs"/>
          <w:b/>
          <w:spacing w:val="0"/>
          <w:szCs w:val="24"/>
          <w:rtl/>
        </w:rPr>
        <w:t>אמונים</w:t>
      </w:r>
      <w:r>
        <w:rPr>
          <w:rFonts w:hint="cs"/>
          <w:rtl/>
        </w:rPr>
        <w:t xml:space="preserve">; ואלה דברי הצהרה: </w:t>
      </w:r>
    </w:p>
    <w:p w:rsidR="008835E9" w:rsidRDefault="008835E9" w:rsidP="008835E9">
      <w:pPr>
        <w:pStyle w:val="Ruller5"/>
        <w:rPr>
          <w:rtl/>
        </w:rPr>
      </w:pPr>
      <w:r>
        <w:rPr>
          <w:rFonts w:hint="cs"/>
          <w:rtl/>
        </w:rPr>
        <w:t xml:space="preserve">"אני מתחייב לשמור אמונים למדינת ישראל ולמלא </w:t>
      </w:r>
      <w:r w:rsidRPr="00744308">
        <w:rPr>
          <w:rFonts w:ascii="Century" w:hAnsi="Century" w:cs="Miriam" w:hint="cs"/>
          <w:b/>
          <w:spacing w:val="0"/>
          <w:szCs w:val="24"/>
          <w:rtl/>
        </w:rPr>
        <w:t>באמונה</w:t>
      </w:r>
      <w:r>
        <w:rPr>
          <w:rFonts w:hint="cs"/>
          <w:rtl/>
        </w:rPr>
        <w:t xml:space="preserve"> את שליחותי בכנסת"</w:t>
      </w:r>
    </w:p>
    <w:p w:rsidR="008835E9" w:rsidRDefault="008835E9" w:rsidP="008835E9">
      <w:pPr>
        <w:pStyle w:val="Ruller5"/>
        <w:rPr>
          <w:rtl/>
        </w:rPr>
      </w:pPr>
      <w:r>
        <w:rPr>
          <w:rFonts w:hint="cs"/>
          <w:rtl/>
        </w:rPr>
        <w:t xml:space="preserve">(ההדגשות שלי </w:t>
      </w:r>
      <w:r>
        <w:rPr>
          <w:rtl/>
        </w:rPr>
        <w:t>–</w:t>
      </w:r>
      <w:r w:rsidRPr="00744308">
        <w:rPr>
          <w:rFonts w:ascii="Century" w:hAnsi="Century" w:cs="Miriam" w:hint="cs"/>
          <w:b/>
          <w:spacing w:val="0"/>
          <w:szCs w:val="24"/>
          <w:rtl/>
        </w:rPr>
        <w:t>ח"מ</w:t>
      </w:r>
      <w:r>
        <w:rPr>
          <w:rFonts w:hint="cs"/>
          <w:rtl/>
        </w:rPr>
        <w:t xml:space="preserve">). </w:t>
      </w:r>
    </w:p>
    <w:p w:rsidR="008835E9" w:rsidRDefault="008835E9" w:rsidP="008835E9">
      <w:pPr>
        <w:pStyle w:val="Ruller5"/>
        <w:rPr>
          <w:rtl/>
        </w:rPr>
      </w:pPr>
    </w:p>
    <w:p w:rsidR="008835E9" w:rsidRPr="00F40516" w:rsidRDefault="008835E9" w:rsidP="008835E9">
      <w:pPr>
        <w:pStyle w:val="Ruller40"/>
        <w:rPr>
          <w:rFonts w:ascii="Century" w:hAnsi="Century"/>
          <w:rtl/>
        </w:rPr>
      </w:pPr>
      <w:r>
        <w:rPr>
          <w:rFonts w:hint="cs"/>
          <w:rtl/>
        </w:rPr>
        <w:t xml:space="preserve">למשמעותה ולנפקותה של הצהרת אמונים </w:t>
      </w:r>
      <w:r>
        <w:rPr>
          <w:rtl/>
        </w:rPr>
        <w:t>–</w:t>
      </w:r>
      <w:r>
        <w:rPr>
          <w:rFonts w:hint="cs"/>
          <w:rtl/>
        </w:rPr>
        <w:t xml:space="preserve"> עיינו: חוות דעתי ב-בג"ץ 6706/14 </w:t>
      </w:r>
      <w:r w:rsidRPr="00744308">
        <w:rPr>
          <w:rFonts w:ascii="Century" w:hAnsi="Century" w:cs="Miriam" w:hint="cs"/>
          <w:b/>
          <w:spacing w:val="0"/>
          <w:szCs w:val="24"/>
          <w:rtl/>
        </w:rPr>
        <w:t>ח"כ חנין זועבי נ' ועדת האתיקה של הכנסת</w:t>
      </w:r>
      <w:r w:rsidRPr="00744308">
        <w:rPr>
          <w:rFonts w:hint="cs"/>
          <w:rtl/>
        </w:rPr>
        <w:t xml:space="preserve"> </w:t>
      </w:r>
      <w:r>
        <w:rPr>
          <w:rFonts w:hint="cs"/>
          <w:rtl/>
        </w:rPr>
        <w:t xml:space="preserve">(10.02.2015); סוזי נבות "הצעת החוקה: שלוש הערות על פרק הכנסת" </w:t>
      </w:r>
      <w:r>
        <w:rPr>
          <w:rFonts w:ascii="Century" w:hAnsi="Century" w:cs="Miriam" w:hint="cs"/>
          <w:b/>
          <w:spacing w:val="0"/>
          <w:szCs w:val="24"/>
          <w:rtl/>
        </w:rPr>
        <w:t xml:space="preserve">משפט וממשל </w:t>
      </w:r>
      <w:r>
        <w:rPr>
          <w:rFonts w:ascii="Century" w:hAnsi="Century" w:hint="cs"/>
          <w:rtl/>
        </w:rPr>
        <w:t xml:space="preserve">י' 593, 633-624 (הפרק על מעמדה של הצהרת האמונים (תשס"ז); יגאל מרזל "על הצהרת האמונים של השופט" בתוך: </w:t>
      </w:r>
      <w:r>
        <w:rPr>
          <w:rFonts w:ascii="Century" w:hAnsi="Century" w:cs="Miriam" w:hint="cs"/>
          <w:b/>
          <w:spacing w:val="0"/>
          <w:szCs w:val="24"/>
          <w:rtl/>
        </w:rPr>
        <w:t>ספר אור</w:t>
      </w:r>
      <w:r>
        <w:rPr>
          <w:rFonts w:ascii="Century" w:hAnsi="Century" w:hint="cs"/>
          <w:rtl/>
        </w:rPr>
        <w:t xml:space="preserve"> (תשע"ג-2013), עמ' 647;</w:t>
      </w:r>
      <w:r w:rsidRPr="00D53BD9">
        <w:rPr>
          <w:rFonts w:asciiTheme="majorBidi" w:hAnsiTheme="majorBidi" w:cstheme="majorBidi"/>
          <w:smallCaps/>
        </w:rPr>
        <w:t>Matthew A. Paulsey, I do Solmenly Swear: The President's Constitutional Oath: Its Meaning and Importance in the History of Oaths</w:t>
      </w:r>
      <w:r w:rsidRPr="00D53BD9">
        <w:rPr>
          <w:rFonts w:asciiTheme="majorBidi" w:hAnsiTheme="majorBidi" w:cstheme="majorBidi"/>
        </w:rPr>
        <w:t xml:space="preserve"> (Un</w:t>
      </w:r>
      <w:r>
        <w:rPr>
          <w:rFonts w:asciiTheme="majorBidi" w:hAnsiTheme="majorBidi" w:cstheme="majorBidi"/>
        </w:rPr>
        <w:t>iversity Press of America, Inc.</w:t>
      </w:r>
      <w:r w:rsidRPr="00D53BD9">
        <w:rPr>
          <w:rFonts w:asciiTheme="majorBidi" w:hAnsiTheme="majorBidi" w:cstheme="majorBidi"/>
        </w:rPr>
        <w:t xml:space="preserve"> 1999)</w:t>
      </w:r>
      <w:r>
        <w:rPr>
          <w:rFonts w:asciiTheme="majorBidi" w:hAnsiTheme="majorBidi" w:cstheme="majorBidi"/>
        </w:rPr>
        <w:t>.</w:t>
      </w:r>
    </w:p>
    <w:p w:rsidR="008835E9" w:rsidRPr="00D53BD9" w:rsidRDefault="008835E9" w:rsidP="008835E9">
      <w:pPr>
        <w:pStyle w:val="Ruller40"/>
        <w:rPr>
          <w:rFonts w:asciiTheme="majorBidi" w:hAnsiTheme="majorBidi" w:cstheme="majorBidi"/>
          <w:rtl/>
        </w:rPr>
      </w:pPr>
      <w:r>
        <w:rPr>
          <w:rFonts w:ascii="Century" w:hAnsi="Century" w:hint="cs"/>
          <w:rtl/>
        </w:rPr>
        <w:t xml:space="preserve"> </w:t>
      </w:r>
    </w:p>
    <w:p w:rsidR="008835E9" w:rsidRDefault="008835E9" w:rsidP="008835E9">
      <w:pPr>
        <w:pStyle w:val="Ruller40"/>
        <w:rPr>
          <w:rFonts w:ascii="Century" w:hAnsi="Century"/>
          <w:rtl/>
        </w:rPr>
      </w:pPr>
      <w:r>
        <w:rPr>
          <w:rFonts w:ascii="Century" w:hAnsi="Century"/>
          <w:rtl/>
        </w:rPr>
        <w:tab/>
      </w:r>
      <w:r>
        <w:rPr>
          <w:rFonts w:ascii="Century" w:hAnsi="Century" w:hint="cs"/>
          <w:rtl/>
        </w:rPr>
        <w:t xml:space="preserve">על אף האמור עד הנה בתת פרק זה </w:t>
      </w:r>
      <w:r>
        <w:rPr>
          <w:rFonts w:ascii="Century" w:hAnsi="Century"/>
          <w:rtl/>
        </w:rPr>
        <w:t>–</w:t>
      </w:r>
      <w:r>
        <w:rPr>
          <w:rFonts w:ascii="Century" w:hAnsi="Century" w:hint="cs"/>
          <w:rtl/>
        </w:rPr>
        <w:t xml:space="preserve"> </w:t>
      </w:r>
      <w:r w:rsidRPr="000164C1">
        <w:rPr>
          <w:rFonts w:ascii="Century" w:hAnsi="Century" w:cs="Miriam" w:hint="cs"/>
          <w:b/>
          <w:spacing w:val="0"/>
          <w:szCs w:val="24"/>
          <w:rtl/>
        </w:rPr>
        <w:t>אין חובת האמון</w:t>
      </w:r>
      <w:r w:rsidRPr="000164C1">
        <w:rPr>
          <w:rFonts w:ascii="Century" w:hAnsi="Century" w:hint="cs"/>
          <w:rtl/>
        </w:rPr>
        <w:t xml:space="preserve"> </w:t>
      </w:r>
      <w:r>
        <w:rPr>
          <w:rFonts w:ascii="Century" w:hAnsi="Century" w:hint="cs"/>
          <w:rtl/>
        </w:rPr>
        <w:t xml:space="preserve">הנזכרת יכולה להכיל בתוכה את שלילת פעילותם הפרלמנטרית החופשית של חברי הכנסת, שהם בבחינת "יחידה חוקתית עצמאית" (בצד היותם חברי סיעה פרלמנטרית). עיינו: בג"ץ 5131/03 </w:t>
      </w:r>
      <w:r w:rsidRPr="00D76A18">
        <w:rPr>
          <w:rFonts w:ascii="Century" w:hAnsi="Century" w:cs="Miriam" w:hint="cs"/>
          <w:b/>
          <w:spacing w:val="0"/>
          <w:szCs w:val="24"/>
          <w:rtl/>
        </w:rPr>
        <w:t>ליצמן נ' יו"ר הכנסת</w:t>
      </w:r>
      <w:r>
        <w:rPr>
          <w:rFonts w:ascii="Century" w:hAnsi="Century" w:hint="cs"/>
          <w:rtl/>
        </w:rPr>
        <w:t xml:space="preserve">, פ"ד נ"ט(1) 577, 588 (2004); בג"ץ 11225/03 </w:t>
      </w:r>
      <w:r w:rsidRPr="00D76A18">
        <w:rPr>
          <w:rFonts w:ascii="Century" w:hAnsi="Century" w:cs="Miriam" w:hint="cs"/>
          <w:b/>
          <w:spacing w:val="0"/>
          <w:szCs w:val="24"/>
          <w:rtl/>
        </w:rPr>
        <w:t>בשארה נ' היועהמ"ש</w:t>
      </w:r>
      <w:r>
        <w:rPr>
          <w:rFonts w:ascii="Century" w:hAnsi="Century" w:hint="cs"/>
          <w:rtl/>
        </w:rPr>
        <w:t xml:space="preserve">, פ"ד ס(4) 287, 300 (מפי השופטת </w:t>
      </w:r>
      <w:r w:rsidRPr="006958CA">
        <w:rPr>
          <w:rFonts w:ascii="Century" w:hAnsi="Century" w:cs="Miriam" w:hint="cs"/>
          <w:b/>
          <w:spacing w:val="0"/>
          <w:szCs w:val="24"/>
          <w:rtl/>
        </w:rPr>
        <w:t>א' חיות</w:t>
      </w:r>
      <w:r>
        <w:rPr>
          <w:rFonts w:ascii="Century" w:hAnsi="Century" w:hint="cs"/>
          <w:rtl/>
        </w:rPr>
        <w:t xml:space="preserve"> (כתוארה אז)); בג"ץ 1262/06 </w:t>
      </w:r>
      <w:r>
        <w:rPr>
          <w:rFonts w:ascii="Century" w:hAnsi="Century" w:cs="Miriam" w:hint="cs"/>
          <w:b/>
          <w:spacing w:val="0"/>
          <w:szCs w:val="24"/>
          <w:rtl/>
        </w:rPr>
        <w:t>התנועה למען איכות השלטון בישראל נ' סיעת ש"ס</w:t>
      </w:r>
      <w:r>
        <w:rPr>
          <w:rFonts w:ascii="Century" w:hAnsi="Century" w:hint="cs"/>
          <w:rtl/>
        </w:rPr>
        <w:t xml:space="preserve">, פ"ד סא(1) 185 (2006); מתן אריאל גוטמן </w:t>
      </w:r>
      <w:r>
        <w:rPr>
          <w:rFonts w:ascii="Century" w:hAnsi="Century" w:cs="Miriam" w:hint="cs"/>
          <w:b/>
          <w:spacing w:val="0"/>
          <w:szCs w:val="24"/>
          <w:rtl/>
        </w:rPr>
        <w:t>יחסי הגומלין בין הכנסת לממשלה והחוקה המינהלית המוסדית</w:t>
      </w:r>
      <w:r w:rsidRPr="00F40516">
        <w:rPr>
          <w:rFonts w:ascii="Century" w:hAnsi="Century" w:hint="cs"/>
          <w:rtl/>
        </w:rPr>
        <w:t>,</w:t>
      </w:r>
      <w:r>
        <w:rPr>
          <w:rFonts w:ascii="Century" w:hAnsi="Century" w:cs="Miriam" w:hint="cs"/>
          <w:b/>
          <w:spacing w:val="0"/>
          <w:szCs w:val="24"/>
          <w:rtl/>
        </w:rPr>
        <w:t xml:space="preserve"> </w:t>
      </w:r>
      <w:r>
        <w:rPr>
          <w:rFonts w:ascii="Century" w:hAnsi="Century" w:hint="cs"/>
          <w:rtl/>
        </w:rPr>
        <w:t xml:space="preserve">116-114, חיבור לשם קבלת התואר "דוקטור לפילוסופיה" בפקולטה למשפטים באוניברסיטת בר-אילן [(אדר א', תשע"ט)]. </w:t>
      </w:r>
    </w:p>
    <w:p w:rsidR="008835E9" w:rsidRDefault="008835E9" w:rsidP="008835E9">
      <w:pPr>
        <w:pStyle w:val="Ruller40"/>
        <w:rPr>
          <w:rFonts w:ascii="Century" w:hAnsi="Century"/>
          <w:rtl/>
        </w:rPr>
      </w:pPr>
    </w:p>
    <w:p w:rsidR="008835E9" w:rsidRPr="006958CA" w:rsidRDefault="008835E9" w:rsidP="008835E9">
      <w:pPr>
        <w:pStyle w:val="Ruller40"/>
        <w:rPr>
          <w:rFonts w:ascii="Century" w:hAnsi="Century"/>
          <w:rtl/>
        </w:rPr>
      </w:pPr>
      <w:r>
        <w:rPr>
          <w:rFonts w:ascii="Century" w:hAnsi="Century"/>
          <w:rtl/>
        </w:rPr>
        <w:tab/>
      </w:r>
      <w:r>
        <w:rPr>
          <w:rFonts w:ascii="Century" w:hAnsi="Century" w:hint="cs"/>
          <w:rtl/>
        </w:rPr>
        <w:t xml:space="preserve">מכאן יש להסיק כי עילות התקיפה המינהלית </w:t>
      </w:r>
      <w:r>
        <w:rPr>
          <w:rFonts w:ascii="Century" w:hAnsi="Century"/>
          <w:rtl/>
        </w:rPr>
        <w:t>–</w:t>
      </w:r>
      <w:r>
        <w:rPr>
          <w:rFonts w:ascii="Century" w:hAnsi="Century" w:hint="cs"/>
          <w:rtl/>
        </w:rPr>
        <w:t xml:space="preserve"> אינן חלות על חברי הכנסת בהתנהלותם מכוח סעיף 10 ל</w:t>
      </w:r>
      <w:r>
        <w:rPr>
          <w:rFonts w:ascii="Century" w:hAnsi="Century" w:cs="Miriam" w:hint="cs"/>
          <w:b/>
          <w:spacing w:val="0"/>
          <w:szCs w:val="24"/>
          <w:rtl/>
        </w:rPr>
        <w:t>חוק-יסוד: הממשלה</w:t>
      </w:r>
      <w:r>
        <w:rPr>
          <w:rFonts w:ascii="Century" w:hAnsi="Century" w:hint="cs"/>
          <w:rtl/>
        </w:rPr>
        <w:t xml:space="preserve">, ולפיכך לא ניתן לאסור עליהם לחתום על בקשה המציינת חבר הכנסת כמועמד להרכבת ממשלה, אף אם הוגש כנגדו כתב אישום. </w:t>
      </w:r>
      <w:r w:rsidRPr="000164C1">
        <w:rPr>
          <w:rFonts w:ascii="Century" w:hAnsi="Century" w:hint="cs"/>
          <w:b/>
          <w:bCs/>
          <w:rtl/>
        </w:rPr>
        <w:t>לצורך זה יש צורך בחקיקה מפורשת, וכזו לא קיימת לעת הזו.</w:t>
      </w:r>
    </w:p>
    <w:p w:rsidR="008835E9" w:rsidRDefault="008835E9" w:rsidP="008835E9">
      <w:pPr>
        <w:pStyle w:val="Ruller40"/>
        <w:rPr>
          <w:rFonts w:ascii="Century" w:hAnsi="Century"/>
          <w:rtl/>
        </w:rPr>
      </w:pPr>
      <w:r>
        <w:rPr>
          <w:rFonts w:ascii="Century" w:hAnsi="Century" w:hint="cs"/>
          <w:rtl/>
        </w:rPr>
        <w:t>עיינו עוד: רבקה ווייל "האם הדחה שיפוטית של ראש ממשלה בישראל היא חוקתית?", עתיד להתפרסם ב</w:t>
      </w:r>
      <w:r w:rsidRPr="006D76D2">
        <w:rPr>
          <w:rFonts w:ascii="Century" w:hAnsi="Century" w:cs="Miriam" w:hint="cs"/>
          <w:b/>
          <w:spacing w:val="0"/>
          <w:szCs w:val="24"/>
          <w:rtl/>
        </w:rPr>
        <w:t xml:space="preserve">משפט וממשל </w:t>
      </w:r>
      <w:r>
        <w:rPr>
          <w:rFonts w:ascii="Century" w:hAnsi="Century" w:hint="cs"/>
          <w:rtl/>
        </w:rPr>
        <w:t>כ"א(1), ב-2020.</w:t>
      </w:r>
    </w:p>
    <w:p w:rsidR="008835E9" w:rsidRPr="00154077" w:rsidRDefault="008835E9" w:rsidP="008835E9">
      <w:pPr>
        <w:pStyle w:val="Ruller40"/>
        <w:rPr>
          <w:rFonts w:ascii="Century" w:hAnsi="Century"/>
        </w:rPr>
      </w:pPr>
    </w:p>
    <w:p w:rsidR="008835E9" w:rsidRDefault="008835E9" w:rsidP="008835E9">
      <w:pPr>
        <w:pStyle w:val="Ruller40"/>
      </w:pPr>
      <w:r>
        <w:rPr>
          <w:rFonts w:hint="cs"/>
          <w:rtl/>
        </w:rPr>
        <w:t>10.</w:t>
      </w:r>
      <w:r>
        <w:rPr>
          <w:rFonts w:hint="cs"/>
          <w:rtl/>
        </w:rPr>
        <w:tab/>
        <w:t xml:space="preserve">העולה מן האמור מלמד כי לא נמצא לנו עוגן משפטי המאפשר התערבות לצורך הפיכת הצווים על-תנאי שהוצאו </w:t>
      </w:r>
      <w:r>
        <w:rPr>
          <w:rtl/>
        </w:rPr>
        <w:t>–</w:t>
      </w:r>
      <w:r>
        <w:rPr>
          <w:rFonts w:hint="cs"/>
          <w:rtl/>
        </w:rPr>
        <w:t xml:space="preserve"> למוחלטים כדי להביא לפסילת חבר הכנסת המועמד לתפקיד ראש הממשלה, אף שתלוי ועומד כנגדו כתב אישום חמור.</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העותרים היו מודעים לקשיים אלה, אך ביקשו כי נפיק למעשה "חקיקה שיפוטית" נוכח הצורך באמירה ערכית בסוגיה. בנושא זה קצרה ידינו, בדיוק כפי שב-בג"ץ 7367/97 </w:t>
      </w:r>
      <w:r w:rsidRPr="008B5A06">
        <w:rPr>
          <w:rFonts w:ascii="Century" w:hAnsi="Century" w:cs="Miriam" w:hint="cs"/>
          <w:b/>
          <w:spacing w:val="0"/>
          <w:szCs w:val="24"/>
          <w:rtl/>
        </w:rPr>
        <w:t>התנועה למען איכות השלטון בישראל נ' היועץ המשפטי לממשלה</w:t>
      </w:r>
      <w:r>
        <w:rPr>
          <w:rFonts w:hint="cs"/>
          <w:rtl/>
        </w:rPr>
        <w:t xml:space="preserve">, בהרכב מורחב של שבעה שופטים (הנשיא </w:t>
      </w:r>
      <w:r w:rsidRPr="008B5A06">
        <w:rPr>
          <w:rFonts w:ascii="Century" w:hAnsi="Century" w:cs="Miriam" w:hint="cs"/>
          <w:b/>
          <w:spacing w:val="0"/>
          <w:szCs w:val="24"/>
          <w:rtl/>
        </w:rPr>
        <w:t>א' ברק</w:t>
      </w:r>
      <w:r w:rsidRPr="008B5A06">
        <w:rPr>
          <w:rFonts w:hint="cs"/>
          <w:rtl/>
        </w:rPr>
        <w:t xml:space="preserve"> </w:t>
      </w:r>
      <w:r>
        <w:rPr>
          <w:rFonts w:hint="cs"/>
          <w:rtl/>
        </w:rPr>
        <w:t xml:space="preserve">והשופטים: </w:t>
      </w:r>
      <w:r w:rsidRPr="008B5A06">
        <w:rPr>
          <w:rFonts w:ascii="Century" w:hAnsi="Century" w:cs="Miriam" w:hint="cs"/>
          <w:b/>
          <w:spacing w:val="0"/>
          <w:szCs w:val="24"/>
          <w:rtl/>
        </w:rPr>
        <w:t>ת' אור</w:t>
      </w:r>
      <w:r>
        <w:rPr>
          <w:rFonts w:hint="cs"/>
          <w:rtl/>
        </w:rPr>
        <w:t xml:space="preserve">, </w:t>
      </w:r>
      <w:r w:rsidRPr="00AF7634">
        <w:rPr>
          <w:rFonts w:ascii="Century" w:hAnsi="Century" w:cs="Miriam" w:hint="cs"/>
          <w:b/>
          <w:spacing w:val="0"/>
          <w:szCs w:val="24"/>
          <w:rtl/>
        </w:rPr>
        <w:t>א' מצא</w:t>
      </w:r>
      <w:r>
        <w:rPr>
          <w:rFonts w:hint="cs"/>
          <w:rtl/>
        </w:rPr>
        <w:t xml:space="preserve">, </w:t>
      </w:r>
      <w:r w:rsidRPr="008B5A06">
        <w:rPr>
          <w:rFonts w:ascii="Century" w:hAnsi="Century" w:cs="Miriam" w:hint="cs"/>
          <w:b/>
          <w:spacing w:val="0"/>
          <w:szCs w:val="24"/>
          <w:rtl/>
        </w:rPr>
        <w:t>מ' חשין</w:t>
      </w:r>
      <w:r>
        <w:rPr>
          <w:rFonts w:hint="cs"/>
          <w:rtl/>
        </w:rPr>
        <w:t xml:space="preserve">, </w:t>
      </w:r>
      <w:r w:rsidRPr="004F30E5">
        <w:rPr>
          <w:rFonts w:ascii="Century" w:hAnsi="Century" w:cs="Miriam" w:hint="cs"/>
          <w:b/>
          <w:spacing w:val="0"/>
          <w:szCs w:val="24"/>
          <w:rtl/>
        </w:rPr>
        <w:t>י' זמיר</w:t>
      </w:r>
      <w:r>
        <w:rPr>
          <w:rFonts w:ascii="Century" w:hAnsi="Century" w:cs="Miriam" w:hint="cs"/>
          <w:b/>
          <w:spacing w:val="0"/>
          <w:szCs w:val="24"/>
          <w:rtl/>
        </w:rPr>
        <w:t>,</w:t>
      </w:r>
      <w:r>
        <w:rPr>
          <w:rFonts w:hint="cs"/>
          <w:rtl/>
        </w:rPr>
        <w:t xml:space="preserve"> </w:t>
      </w:r>
      <w:r w:rsidRPr="008B5A06">
        <w:rPr>
          <w:rFonts w:ascii="Century" w:hAnsi="Century" w:cs="Miriam" w:hint="cs"/>
          <w:b/>
          <w:spacing w:val="0"/>
          <w:szCs w:val="24"/>
          <w:rtl/>
        </w:rPr>
        <w:t>ד' דורנר</w:t>
      </w:r>
      <w:r w:rsidRPr="008B5A06">
        <w:rPr>
          <w:rFonts w:hint="cs"/>
          <w:rtl/>
        </w:rPr>
        <w:t xml:space="preserve"> </w:t>
      </w:r>
      <w:r>
        <w:rPr>
          <w:rFonts w:hint="cs"/>
          <w:rtl/>
        </w:rPr>
        <w:t>ו-</w:t>
      </w:r>
      <w:r w:rsidRPr="008B5A06">
        <w:rPr>
          <w:rFonts w:ascii="Century" w:hAnsi="Century" w:cs="Miriam" w:hint="cs"/>
          <w:b/>
          <w:spacing w:val="0"/>
          <w:szCs w:val="24"/>
          <w:rtl/>
        </w:rPr>
        <w:t>י' אנגלרד</w:t>
      </w:r>
      <w:r>
        <w:rPr>
          <w:rFonts w:hint="cs"/>
          <w:rtl/>
        </w:rPr>
        <w:t xml:space="preserve">), פ"ד נב(4) 547 (1998)), נפסק כי באין הוראה בדין המאפשרת את פסילתו של חבר הכנסת </w:t>
      </w:r>
      <w:r w:rsidRPr="002376E2">
        <w:rPr>
          <w:rFonts w:hint="eastAsia"/>
          <w:b/>
          <w:bCs/>
          <w:rtl/>
        </w:rPr>
        <w:t>שהורשע</w:t>
      </w:r>
      <w:r>
        <w:rPr>
          <w:rFonts w:hint="cs"/>
          <w:rtl/>
        </w:rPr>
        <w:t xml:space="preserve"> מלכהן כיו"ר ועדה בכנסת (ואפילו כיו"ר ועדת הכנסת, שהיא מעין "כנסת זוטא") </w:t>
      </w:r>
      <w:r>
        <w:rPr>
          <w:rtl/>
        </w:rPr>
        <w:t>–</w:t>
      </w:r>
      <w:r>
        <w:rPr>
          <w:rFonts w:hint="cs"/>
          <w:rtl/>
        </w:rPr>
        <w:t xml:space="preserve"> בית משפט זה איננו יכול לצוות על כך. הדברים חלים מקל וחומר על ענייננו, שכן פה מדובר לגבי המועמד להרכבת הממשלה בשלב של כתב אישום. </w:t>
      </w:r>
    </w:p>
    <w:p w:rsidR="008835E9" w:rsidRPr="002376E2" w:rsidRDefault="008835E9" w:rsidP="008835E9">
      <w:pPr>
        <w:pStyle w:val="Ruller40"/>
        <w:rPr>
          <w:b/>
          <w:bCs/>
          <w:rtl/>
        </w:rPr>
      </w:pPr>
      <w:r w:rsidRPr="002376E2">
        <w:rPr>
          <w:rFonts w:hint="eastAsia"/>
          <w:b/>
          <w:bCs/>
          <w:rtl/>
        </w:rPr>
        <w:t>הנה</w:t>
      </w:r>
      <w:r w:rsidRPr="002376E2">
        <w:rPr>
          <w:b/>
          <w:bCs/>
          <w:rtl/>
        </w:rPr>
        <w:t xml:space="preserve"> כי כן, </w:t>
      </w:r>
      <w:r w:rsidRPr="002376E2">
        <w:rPr>
          <w:rFonts w:hint="eastAsia"/>
          <w:b/>
          <w:bCs/>
          <w:rtl/>
        </w:rPr>
        <w:t>העותרים</w:t>
      </w:r>
      <w:r w:rsidRPr="002376E2">
        <w:rPr>
          <w:b/>
          <w:bCs/>
          <w:rtl/>
        </w:rPr>
        <w:t xml:space="preserve"> </w:t>
      </w:r>
      <w:r w:rsidRPr="002376E2">
        <w:rPr>
          <w:rFonts w:hint="eastAsia"/>
          <w:b/>
          <w:bCs/>
          <w:rtl/>
        </w:rPr>
        <w:t>שהתריעו</w:t>
      </w:r>
      <w:r w:rsidRPr="002376E2">
        <w:rPr>
          <w:b/>
          <w:bCs/>
          <w:rtl/>
        </w:rPr>
        <w:t xml:space="preserve"> כנגד הימנעות </w:t>
      </w:r>
      <w:r w:rsidRPr="002376E2">
        <w:rPr>
          <w:rFonts w:hint="eastAsia"/>
          <w:b/>
          <w:bCs/>
          <w:rtl/>
        </w:rPr>
        <w:t>מהתערבות</w:t>
      </w:r>
      <w:r w:rsidRPr="002376E2">
        <w:rPr>
          <w:b/>
          <w:bCs/>
          <w:rtl/>
        </w:rPr>
        <w:t xml:space="preserve"> במצב דברים זה – הת</w:t>
      </w:r>
      <w:r w:rsidRPr="002376E2">
        <w:rPr>
          <w:rFonts w:hint="eastAsia"/>
          <w:b/>
          <w:bCs/>
          <w:rtl/>
        </w:rPr>
        <w:t>עלמו</w:t>
      </w:r>
      <w:r w:rsidRPr="002376E2">
        <w:rPr>
          <w:b/>
          <w:bCs/>
          <w:rtl/>
        </w:rPr>
        <w:t xml:space="preserve"> </w:t>
      </w:r>
      <w:r w:rsidRPr="002376E2">
        <w:rPr>
          <w:rFonts w:hint="eastAsia"/>
          <w:b/>
          <w:bCs/>
          <w:rtl/>
        </w:rPr>
        <w:t>מההלכה</w:t>
      </w:r>
      <w:r w:rsidRPr="002376E2">
        <w:rPr>
          <w:b/>
          <w:bCs/>
          <w:rtl/>
        </w:rPr>
        <w:t xml:space="preserve"> </w:t>
      </w:r>
      <w:r w:rsidRPr="002376E2">
        <w:rPr>
          <w:rFonts w:hint="eastAsia"/>
          <w:b/>
          <w:bCs/>
          <w:rtl/>
        </w:rPr>
        <w:t>ב</w:t>
      </w:r>
      <w:r w:rsidRPr="002376E2">
        <w:rPr>
          <w:b/>
          <w:bCs/>
          <w:rtl/>
        </w:rPr>
        <w:t xml:space="preserve">-בג"ץ 7367/97 </w:t>
      </w:r>
      <w:r w:rsidRPr="002376E2">
        <w:rPr>
          <w:rFonts w:hint="eastAsia"/>
          <w:b/>
          <w:bCs/>
          <w:rtl/>
        </w:rPr>
        <w:t>הנ</w:t>
      </w:r>
      <w:r w:rsidRPr="002376E2">
        <w:rPr>
          <w:b/>
          <w:bCs/>
          <w:rtl/>
        </w:rPr>
        <w:t>"ל.</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זה המקום לציין כי בהודו עלתה שאלה קרובה למה שעומד בפנינו </w:t>
      </w:r>
      <w:r>
        <w:rPr>
          <w:rtl/>
        </w:rPr>
        <w:t>–</w:t>
      </w:r>
      <w:r>
        <w:rPr>
          <w:rFonts w:hint="cs"/>
          <w:rtl/>
        </w:rPr>
        <w:t xml:space="preserve"> לגבי שר (ולא לגבי מועמד לראשות הממשלה), ואף שם בית המשפט החליט </w:t>
      </w:r>
      <w:r>
        <w:rPr>
          <w:rtl/>
        </w:rPr>
        <w:t>–</w:t>
      </w:r>
      <w:r>
        <w:rPr>
          <w:rFonts w:hint="cs"/>
          <w:rtl/>
        </w:rPr>
        <w:t xml:space="preserve"> באין הוראת הסמכה מפורשת, שלא להתערב שכן לא מצא לצורך זה עילה מוכרת לכך בדין (ראו: </w:t>
      </w:r>
      <w:r w:rsidRPr="00F40516">
        <w:rPr>
          <w:rFonts w:asciiTheme="majorBidi" w:hAnsiTheme="majorBidi" w:cstheme="majorBidi"/>
          <w:smallCaps/>
        </w:rPr>
        <w:t>Manoj Narula v. Union of India</w:t>
      </w:r>
      <w:r w:rsidRPr="00755563">
        <w:rPr>
          <w:rFonts w:asciiTheme="majorBidi" w:hAnsiTheme="majorBidi" w:cstheme="majorBidi"/>
        </w:rPr>
        <w:t xml:space="preserve"> (27.08.2014)</w:t>
      </w:r>
      <w:r>
        <w:rPr>
          <w:rFonts w:hint="cs"/>
          <w:rtl/>
        </w:rPr>
        <w:t xml:space="preserve">; להלן גם: </w:t>
      </w:r>
      <w:r w:rsidRPr="002376E2">
        <w:rPr>
          <w:rFonts w:ascii="Century" w:hAnsi="Century" w:cs="Miriam" w:hint="eastAsia"/>
          <w:b/>
          <w:spacing w:val="0"/>
          <w:szCs w:val="24"/>
          <w:rtl/>
        </w:rPr>
        <w:t>פסק</w:t>
      </w:r>
      <w:r w:rsidRPr="002376E2">
        <w:rPr>
          <w:rFonts w:ascii="Century" w:hAnsi="Century" w:cs="Miriam"/>
          <w:b/>
          <w:spacing w:val="0"/>
          <w:szCs w:val="24"/>
          <w:rtl/>
        </w:rPr>
        <w:t xml:space="preserve"> </w:t>
      </w:r>
      <w:r w:rsidRPr="002376E2">
        <w:rPr>
          <w:rFonts w:ascii="Century" w:hAnsi="Century" w:cs="Miriam" w:hint="eastAsia"/>
          <w:b/>
          <w:spacing w:val="0"/>
          <w:szCs w:val="24"/>
          <w:rtl/>
        </w:rPr>
        <w:t>הדין</w:t>
      </w:r>
      <w:r w:rsidRPr="002376E2">
        <w:rPr>
          <w:rFonts w:ascii="Century" w:hAnsi="Century" w:cs="Miriam"/>
          <w:b/>
          <w:spacing w:val="0"/>
          <w:szCs w:val="24"/>
          <w:rtl/>
        </w:rPr>
        <w:t xml:space="preserve"> </w:t>
      </w:r>
      <w:r w:rsidRPr="002376E2">
        <w:rPr>
          <w:rFonts w:ascii="Century" w:hAnsi="Century" w:cs="Miriam" w:hint="eastAsia"/>
          <w:b/>
          <w:spacing w:val="0"/>
          <w:szCs w:val="24"/>
          <w:rtl/>
        </w:rPr>
        <w:t>ההודי</w:t>
      </w:r>
      <w:r>
        <w:rPr>
          <w:rFonts w:hint="cs"/>
          <w:rtl/>
        </w:rPr>
        <w:t xml:space="preserve">). בדחיית העתירה שם ראו שופטי בית המשפט העליון בהודו להביע דעתם כי היווצרות מצב שבו יכהנו בממשלה שרים שנחשדו בעבירות על טוהר המידות והועמדו לדין, עלולה לפגוע במשילות, "במוסריות הקונסטיטוציונית" ו"במסירות החוקתית", הנדרשות לממשל תקין. הערות אלו של בית המשפט העליון בהודו יפות אף לענייננו, באין לנו מקור הסמכה מפורש לפסילה כאן, ולפיכך התרופה המשפטית למצב שנוצר היא רק בתיקון חוקי-היסוד לעתיד, כפי שהציעו: חברתי, השופטת </w:t>
      </w:r>
      <w:r w:rsidRPr="008B5A06">
        <w:rPr>
          <w:rFonts w:ascii="Century" w:hAnsi="Century" w:cs="Miriam" w:hint="cs"/>
          <w:b/>
          <w:spacing w:val="0"/>
          <w:szCs w:val="24"/>
          <w:rtl/>
        </w:rPr>
        <w:t>ד' ברק-ארז</w:t>
      </w:r>
      <w:r w:rsidRPr="008B5A06">
        <w:rPr>
          <w:rFonts w:hint="cs"/>
          <w:rtl/>
        </w:rPr>
        <w:t xml:space="preserve"> </w:t>
      </w:r>
      <w:r>
        <w:rPr>
          <w:rFonts w:hint="cs"/>
          <w:rtl/>
        </w:rPr>
        <w:t xml:space="preserve">וחברי, השופט </w:t>
      </w:r>
      <w:r w:rsidRPr="008B5A06">
        <w:rPr>
          <w:rFonts w:ascii="Century" w:hAnsi="Century" w:cs="Miriam" w:hint="cs"/>
          <w:b/>
          <w:spacing w:val="0"/>
          <w:szCs w:val="24"/>
          <w:rtl/>
        </w:rPr>
        <w:t>ד' מינץ</w:t>
      </w:r>
      <w:r>
        <w:rPr>
          <w:rFonts w:hint="cs"/>
          <w:rtl/>
        </w:rPr>
        <w:t xml:space="preserve">, ולא בדרך של הוצאת צו כופה ב-בג"ץ. </w:t>
      </w:r>
    </w:p>
    <w:p w:rsidR="008835E9" w:rsidRDefault="008835E9" w:rsidP="008835E9">
      <w:pPr>
        <w:pStyle w:val="Ruller40"/>
        <w:rPr>
          <w:rtl/>
        </w:rPr>
      </w:pPr>
    </w:p>
    <w:p w:rsidR="008835E9" w:rsidRDefault="008835E9" w:rsidP="008835E9">
      <w:pPr>
        <w:pStyle w:val="Ruller40"/>
        <w:rPr>
          <w:rtl/>
        </w:rPr>
      </w:pPr>
      <w:r>
        <w:rPr>
          <w:rFonts w:hint="cs"/>
          <w:rtl/>
        </w:rPr>
        <w:t xml:space="preserve">לנוכח </w:t>
      </w:r>
      <w:r w:rsidRPr="002376E2">
        <w:rPr>
          <w:rFonts w:ascii="Century" w:hAnsi="Century" w:cs="Miriam" w:hint="eastAsia"/>
          <w:b/>
          <w:spacing w:val="0"/>
          <w:szCs w:val="24"/>
          <w:rtl/>
        </w:rPr>
        <w:t>פסק</w:t>
      </w:r>
      <w:r w:rsidRPr="002376E2">
        <w:rPr>
          <w:rFonts w:ascii="Century" w:hAnsi="Century" w:cs="Miriam"/>
          <w:b/>
          <w:spacing w:val="0"/>
          <w:szCs w:val="24"/>
          <w:rtl/>
        </w:rPr>
        <w:t xml:space="preserve"> </w:t>
      </w:r>
      <w:r w:rsidRPr="002376E2">
        <w:rPr>
          <w:rFonts w:ascii="Century" w:hAnsi="Century" w:cs="Miriam" w:hint="eastAsia"/>
          <w:b/>
          <w:spacing w:val="0"/>
          <w:szCs w:val="24"/>
          <w:rtl/>
        </w:rPr>
        <w:t>הדין</w:t>
      </w:r>
      <w:r w:rsidRPr="002376E2">
        <w:rPr>
          <w:rFonts w:ascii="Century" w:hAnsi="Century" w:cs="Miriam"/>
          <w:b/>
          <w:spacing w:val="0"/>
          <w:szCs w:val="24"/>
          <w:rtl/>
        </w:rPr>
        <w:t xml:space="preserve"> </w:t>
      </w:r>
      <w:r w:rsidRPr="002376E2">
        <w:rPr>
          <w:rFonts w:ascii="Century" w:hAnsi="Century" w:cs="Miriam" w:hint="eastAsia"/>
          <w:b/>
          <w:spacing w:val="0"/>
          <w:szCs w:val="24"/>
          <w:rtl/>
        </w:rPr>
        <w:t>ההודי</w:t>
      </w:r>
      <w:r w:rsidRPr="00A17DFD">
        <w:rPr>
          <w:rFonts w:hint="cs"/>
          <w:rtl/>
        </w:rPr>
        <w:t xml:space="preserve"> </w:t>
      </w:r>
      <w:r>
        <w:rPr>
          <w:rFonts w:hint="cs"/>
          <w:rtl/>
        </w:rPr>
        <w:t>מתחייבות כאן עוד שתי הערות:</w:t>
      </w:r>
    </w:p>
    <w:p w:rsidR="008835E9" w:rsidRDefault="008835E9" w:rsidP="008835E9">
      <w:pPr>
        <w:pStyle w:val="Ruller40"/>
        <w:numPr>
          <w:ilvl w:val="0"/>
          <w:numId w:val="14"/>
        </w:numPr>
      </w:pPr>
      <w:r>
        <w:rPr>
          <w:rFonts w:hint="cs"/>
          <w:rtl/>
        </w:rPr>
        <w:t xml:space="preserve">אצלנו </w:t>
      </w:r>
      <w:r>
        <w:rPr>
          <w:rtl/>
        </w:rPr>
        <w:t>–</w:t>
      </w:r>
      <w:r>
        <w:rPr>
          <w:rFonts w:hint="cs"/>
          <w:rtl/>
        </w:rPr>
        <w:t xml:space="preserve"> בניגוד להודו </w:t>
      </w:r>
      <w:r>
        <w:rPr>
          <w:rtl/>
        </w:rPr>
        <w:t>–</w:t>
      </w:r>
      <w:r>
        <w:rPr>
          <w:rFonts w:hint="cs"/>
          <w:rtl/>
        </w:rPr>
        <w:t xml:space="preserve"> נמצא מקור הסמכות להעביר שרים מכהונתם בעת שמוגש נגדם כתב אישום, ועל רקע זה נפסקו ההלכות ב-בג</w:t>
      </w:r>
      <w:r>
        <w:rPr>
          <w:rtl/>
        </w:rPr>
        <w:t>"</w:t>
      </w:r>
      <w:r>
        <w:rPr>
          <w:rFonts w:hint="cs"/>
          <w:rtl/>
        </w:rPr>
        <w:t xml:space="preserve">ץ 3094/93 </w:t>
      </w:r>
      <w:r w:rsidRPr="005A250B">
        <w:rPr>
          <w:rFonts w:ascii="Century" w:hAnsi="Century" w:cs="Miriam" w:hint="cs"/>
          <w:b/>
          <w:spacing w:val="0"/>
          <w:szCs w:val="24"/>
          <w:rtl/>
        </w:rPr>
        <w:t>התנועה למען איכות השלטון בישראל נ' ממשלת ישראל</w:t>
      </w:r>
      <w:r>
        <w:rPr>
          <w:rFonts w:hint="cs"/>
          <w:rtl/>
        </w:rPr>
        <w:t>, פ"ד מ"ז(5) 404 (1993, ובבג</w:t>
      </w:r>
      <w:r>
        <w:rPr>
          <w:rtl/>
        </w:rPr>
        <w:t>"</w:t>
      </w:r>
      <w:r>
        <w:rPr>
          <w:rFonts w:hint="cs"/>
          <w:rtl/>
        </w:rPr>
        <w:t xml:space="preserve">ץ 4267/93 </w:t>
      </w:r>
      <w:r w:rsidRPr="005A250B">
        <w:rPr>
          <w:rFonts w:ascii="Century" w:hAnsi="Century" w:cs="Miriam" w:hint="cs"/>
          <w:b/>
          <w:spacing w:val="0"/>
          <w:szCs w:val="24"/>
          <w:rtl/>
        </w:rPr>
        <w:t xml:space="preserve">אמיתי </w:t>
      </w:r>
      <w:r w:rsidRPr="005A250B">
        <w:rPr>
          <w:rFonts w:ascii="Century" w:hAnsi="Century" w:cs="Miriam"/>
          <w:b/>
          <w:spacing w:val="0"/>
          <w:szCs w:val="24"/>
          <w:rtl/>
        </w:rPr>
        <w:t>–</w:t>
      </w:r>
      <w:r w:rsidRPr="005A250B">
        <w:rPr>
          <w:rFonts w:ascii="Century" w:hAnsi="Century" w:cs="Miriam" w:hint="cs"/>
          <w:b/>
          <w:spacing w:val="0"/>
          <w:szCs w:val="24"/>
          <w:rtl/>
        </w:rPr>
        <w:t xml:space="preserve"> אזרחים למען מינהל תקין וטו</w:t>
      </w:r>
      <w:r>
        <w:rPr>
          <w:rFonts w:ascii="Century" w:hAnsi="Century" w:cs="Miriam" w:hint="cs"/>
          <w:b/>
          <w:spacing w:val="0"/>
          <w:szCs w:val="24"/>
          <w:rtl/>
        </w:rPr>
        <w:t>הר</w:t>
      </w:r>
      <w:r w:rsidRPr="005A250B">
        <w:rPr>
          <w:rFonts w:ascii="Century" w:hAnsi="Century" w:cs="Miriam" w:hint="cs"/>
          <w:b/>
          <w:spacing w:val="0"/>
          <w:szCs w:val="24"/>
          <w:rtl/>
        </w:rPr>
        <w:t xml:space="preserve"> המידות נ' ראש ממשלת ישראל</w:t>
      </w:r>
      <w:r>
        <w:rPr>
          <w:rFonts w:hint="cs"/>
          <w:rtl/>
        </w:rPr>
        <w:t xml:space="preserve">, פ"ד מ"ז(5), 441 (1993) (להלן יחד: </w:t>
      </w:r>
      <w:r w:rsidRPr="005A250B">
        <w:rPr>
          <w:rFonts w:ascii="Century" w:hAnsi="Century" w:cs="Miriam" w:hint="cs"/>
          <w:b/>
          <w:spacing w:val="0"/>
          <w:szCs w:val="24"/>
          <w:rtl/>
        </w:rPr>
        <w:t>הלכות דרעי ופנחסי</w:t>
      </w:r>
      <w:r>
        <w:rPr>
          <w:rFonts w:hint="cs"/>
          <w:rtl/>
        </w:rPr>
        <w:t xml:space="preserve">)). </w:t>
      </w:r>
    </w:p>
    <w:p w:rsidR="008835E9" w:rsidRDefault="008835E9" w:rsidP="00321FCB">
      <w:pPr>
        <w:pStyle w:val="Ruller40"/>
        <w:numPr>
          <w:ilvl w:val="0"/>
          <w:numId w:val="14"/>
        </w:numPr>
      </w:pPr>
      <w:r>
        <w:rPr>
          <w:rFonts w:hint="cs"/>
          <w:rtl/>
        </w:rPr>
        <w:t xml:space="preserve">מאז </w:t>
      </w:r>
      <w:r w:rsidRPr="002376E2">
        <w:rPr>
          <w:rFonts w:ascii="Century" w:hAnsi="Century" w:cs="Miriam" w:hint="eastAsia"/>
          <w:b/>
          <w:spacing w:val="0"/>
          <w:szCs w:val="24"/>
          <w:rtl/>
        </w:rPr>
        <w:t>הלכות</w:t>
      </w:r>
      <w:r w:rsidRPr="002376E2">
        <w:rPr>
          <w:rFonts w:ascii="Century" w:hAnsi="Century" w:cs="Miriam"/>
          <w:b/>
          <w:spacing w:val="0"/>
          <w:szCs w:val="24"/>
          <w:rtl/>
        </w:rPr>
        <w:t xml:space="preserve"> </w:t>
      </w:r>
      <w:r w:rsidRPr="002376E2">
        <w:rPr>
          <w:rFonts w:ascii="Century" w:hAnsi="Century" w:cs="Miriam" w:hint="eastAsia"/>
          <w:b/>
          <w:spacing w:val="0"/>
          <w:szCs w:val="24"/>
          <w:rtl/>
        </w:rPr>
        <w:t>דרעי</w:t>
      </w:r>
      <w:r w:rsidRPr="002376E2">
        <w:rPr>
          <w:rFonts w:ascii="Century" w:hAnsi="Century" w:cs="Miriam"/>
          <w:b/>
          <w:spacing w:val="0"/>
          <w:szCs w:val="24"/>
          <w:rtl/>
        </w:rPr>
        <w:t xml:space="preserve"> </w:t>
      </w:r>
      <w:r w:rsidRPr="002376E2">
        <w:rPr>
          <w:rFonts w:ascii="Century" w:hAnsi="Century" w:cs="Miriam" w:hint="eastAsia"/>
          <w:b/>
          <w:spacing w:val="0"/>
          <w:szCs w:val="24"/>
          <w:rtl/>
        </w:rPr>
        <w:t>ופנחסי</w:t>
      </w:r>
      <w:r w:rsidRPr="003958F8">
        <w:rPr>
          <w:rFonts w:hint="cs"/>
          <w:rtl/>
        </w:rPr>
        <w:t xml:space="preserve"> </w:t>
      </w:r>
      <w:r>
        <w:rPr>
          <w:rFonts w:hint="cs"/>
          <w:rtl/>
        </w:rPr>
        <w:t>נוצרה אצלנו פרקטיקה, שלפיה שרים, שהוגש נגדם כתב אישום, לא המתינו להעברתם מן התפקיד מכוח סעיף 22(ב) ל</w:t>
      </w:r>
      <w:r w:rsidRPr="00ED718F">
        <w:rPr>
          <w:rFonts w:ascii="Century" w:hAnsi="Century" w:cs="Miriam" w:hint="cs"/>
          <w:b/>
          <w:spacing w:val="0"/>
          <w:szCs w:val="24"/>
          <w:rtl/>
        </w:rPr>
        <w:t>חוק-יסוד: הממשלה</w:t>
      </w:r>
      <w:r>
        <w:rPr>
          <w:rFonts w:hint="cs"/>
          <w:rtl/>
        </w:rPr>
        <w:t xml:space="preserve">, אלא בחרו להתפטר מכהונתם מיוזמתם, ולהתרכז במאמצים לטיהור שמם בהליך המשפטי. הם חזרו לחיים הפוליטיים רק לאחר זיכויים, או לאחר שהתוצאה במשפט הפלילי איפשרה זאת. התנהלות זו עולה עתה כדי נוהג חוקתי מחייב. </w:t>
      </w:r>
      <w:r>
        <w:rPr>
          <w:rtl/>
        </w:rPr>
        <w:br/>
      </w:r>
      <w:r>
        <w:rPr>
          <w:rFonts w:hint="cs"/>
          <w:rtl/>
        </w:rPr>
        <w:t xml:space="preserve">כך פעל בעבר גם ראש ממשלה מכהן, ואולם מאחר והיה זה מקרה חד פעמי, הרי שמדובר בהתנהלות אתית בלבד, ולא בחובה משפטית. </w:t>
      </w:r>
    </w:p>
    <w:p w:rsidR="00321FCB" w:rsidRDefault="00321FCB" w:rsidP="00321FCB">
      <w:pPr>
        <w:pStyle w:val="Ruller40"/>
        <w:ind w:left="795"/>
        <w:rPr>
          <w:rtl/>
        </w:rPr>
      </w:pPr>
    </w:p>
    <w:p w:rsidR="008835E9" w:rsidRPr="006D76D2" w:rsidRDefault="008835E9" w:rsidP="008835E9">
      <w:pPr>
        <w:pStyle w:val="Ruller40"/>
        <w:keepLines/>
        <w:widowControl w:val="0"/>
        <w:rPr>
          <w:rtl/>
        </w:rPr>
      </w:pPr>
      <w:r>
        <w:rPr>
          <w:rtl/>
        </w:rPr>
        <w:tab/>
      </w:r>
      <w:r>
        <w:rPr>
          <w:rFonts w:hint="cs"/>
          <w:rtl/>
        </w:rPr>
        <w:t xml:space="preserve">לגבי נוהג ומנהג במשפט החוקתי ותוקפם </w:t>
      </w:r>
      <w:r>
        <w:rPr>
          <w:rtl/>
        </w:rPr>
        <w:t>–</w:t>
      </w:r>
      <w:r>
        <w:rPr>
          <w:rFonts w:hint="cs"/>
          <w:rtl/>
        </w:rPr>
        <w:t xml:space="preserve"> עיינו: בג"ץ 3132/15 </w:t>
      </w:r>
      <w:r>
        <w:rPr>
          <w:rFonts w:ascii="Century" w:hAnsi="Century" w:cs="Miriam" w:hint="cs"/>
          <w:b/>
          <w:spacing w:val="0"/>
          <w:szCs w:val="24"/>
          <w:rtl/>
        </w:rPr>
        <w:t xml:space="preserve">מפלגת יש עתיד נ' ראש ממשלת ישראל </w:t>
      </w:r>
      <w:r w:rsidRPr="00164F45">
        <w:rPr>
          <w:rFonts w:hint="cs"/>
          <w:rtl/>
        </w:rPr>
        <w:t>(13.04.2016);</w:t>
      </w:r>
      <w:r>
        <w:rPr>
          <w:rFonts w:ascii="Century" w:hAnsi="Century" w:cs="Miriam" w:hint="cs"/>
          <w:b/>
          <w:spacing w:val="0"/>
          <w:szCs w:val="24"/>
          <w:rtl/>
        </w:rPr>
        <w:t xml:space="preserve"> </w:t>
      </w:r>
      <w:r>
        <w:rPr>
          <w:rFonts w:hint="cs"/>
          <w:rtl/>
        </w:rPr>
        <w:t xml:space="preserve">בג"ץ 9029/16 </w:t>
      </w:r>
      <w:r w:rsidRPr="0005213B">
        <w:rPr>
          <w:rFonts w:ascii="Century" w:hAnsi="Century" w:cs="Miriam" w:hint="cs"/>
          <w:b/>
          <w:spacing w:val="0"/>
          <w:szCs w:val="24"/>
          <w:rtl/>
        </w:rPr>
        <w:t>עו"ד יצחק אבירם נ' שרת המשפטים</w:t>
      </w:r>
      <w:r>
        <w:rPr>
          <w:rFonts w:hint="cs"/>
          <w:rtl/>
        </w:rPr>
        <w:t xml:space="preserve"> (01.02.2017) (להלן: </w:t>
      </w:r>
      <w:r w:rsidRPr="00404DD3">
        <w:rPr>
          <w:rFonts w:ascii="Century" w:hAnsi="Century" w:cs="Miriam" w:hint="cs"/>
          <w:b/>
          <w:spacing w:val="0"/>
          <w:szCs w:val="24"/>
          <w:rtl/>
        </w:rPr>
        <w:t>עניין אבירם</w:t>
      </w:r>
      <w:r>
        <w:rPr>
          <w:rFonts w:hint="cs"/>
          <w:rtl/>
        </w:rPr>
        <w:t xml:space="preserve">); </w:t>
      </w:r>
      <w:r w:rsidRPr="00790EDC">
        <w:rPr>
          <w:rFonts w:asciiTheme="majorBidi" w:hAnsiTheme="majorBidi" w:cstheme="majorBidi"/>
        </w:rPr>
        <w:t xml:space="preserve">Oren Tamir, </w:t>
      </w:r>
      <w:r w:rsidRPr="002F08EC">
        <w:rPr>
          <w:rFonts w:asciiTheme="majorBidi" w:hAnsiTheme="majorBidi" w:cstheme="majorBidi"/>
          <w:i/>
          <w:iCs/>
        </w:rPr>
        <w:t>Constitutional Norm E</w:t>
      </w:r>
      <w:r>
        <w:rPr>
          <w:rFonts w:asciiTheme="majorBidi" w:hAnsiTheme="majorBidi" w:cstheme="majorBidi"/>
          <w:i/>
          <w:iCs/>
        </w:rPr>
        <w:t>nt</w:t>
      </w:r>
      <w:r w:rsidRPr="002F08EC">
        <w:rPr>
          <w:rFonts w:asciiTheme="majorBidi" w:hAnsiTheme="majorBidi" w:cstheme="majorBidi"/>
          <w:i/>
          <w:iCs/>
        </w:rPr>
        <w:t>r</w:t>
      </w:r>
      <w:r>
        <w:rPr>
          <w:rFonts w:asciiTheme="majorBidi" w:hAnsiTheme="majorBidi" w:cstheme="majorBidi"/>
          <w:i/>
          <w:iCs/>
        </w:rPr>
        <w:t>e</w:t>
      </w:r>
      <w:r w:rsidRPr="002F08EC">
        <w:rPr>
          <w:rFonts w:asciiTheme="majorBidi" w:hAnsiTheme="majorBidi" w:cstheme="majorBidi"/>
          <w:i/>
          <w:iCs/>
        </w:rPr>
        <w:t>preneuring</w:t>
      </w:r>
      <w:r w:rsidRPr="00790EDC">
        <w:rPr>
          <w:rFonts w:asciiTheme="majorBidi" w:hAnsiTheme="majorBidi" w:cstheme="majorBidi"/>
        </w:rPr>
        <w:t xml:space="preserve"> </w:t>
      </w:r>
      <w:r>
        <w:rPr>
          <w:rFonts w:asciiTheme="majorBidi" w:hAnsiTheme="majorBidi" w:cstheme="majorBidi" w:hint="cs"/>
          <w:rtl/>
        </w:rPr>
        <w:t xml:space="preserve">, </w:t>
      </w:r>
      <w:r w:rsidRPr="00DA046B">
        <w:rPr>
          <w:rtl/>
        </w:rPr>
        <w:t>עתיד להתפרסם ב-</w:t>
      </w:r>
      <w:r w:rsidRPr="00790EDC">
        <w:rPr>
          <w:rFonts w:asciiTheme="majorBidi" w:hAnsiTheme="majorBidi" w:cstheme="majorBidi"/>
          <w:rtl/>
        </w:rPr>
        <w:t xml:space="preserve"> </w:t>
      </w:r>
      <w:r w:rsidRPr="00790EDC">
        <w:rPr>
          <w:rFonts w:asciiTheme="majorBidi" w:hAnsiTheme="majorBidi" w:cstheme="majorBidi"/>
        </w:rPr>
        <w:t xml:space="preserve">80 MD. L. </w:t>
      </w:r>
      <w:r w:rsidRPr="002F08EC">
        <w:rPr>
          <w:rFonts w:asciiTheme="majorBidi" w:hAnsiTheme="majorBidi" w:cstheme="majorBidi"/>
          <w:smallCaps/>
        </w:rPr>
        <w:t>Rev</w:t>
      </w:r>
      <w:r>
        <w:t>.</w:t>
      </w:r>
      <w:r>
        <w:rPr>
          <w:rFonts w:hint="cs"/>
          <w:rtl/>
        </w:rPr>
        <w:t xml:space="preserve"> במהלך שנת 2021:</w:t>
      </w:r>
      <w:r w:rsidRPr="00DA046B">
        <w:rPr>
          <w:rFonts w:asciiTheme="majorBidi" w:hAnsiTheme="majorBidi" w:cstheme="majorBidi"/>
          <w:sz w:val="24"/>
          <w:szCs w:val="32"/>
        </w:rPr>
        <w:t>papers.ssrn.com/sol3/</w:t>
      </w:r>
      <w:r>
        <w:rPr>
          <w:rFonts w:asciiTheme="majorBidi" w:hAnsiTheme="majorBidi" w:cstheme="majorBidi"/>
          <w:sz w:val="24"/>
          <w:szCs w:val="32"/>
        </w:rPr>
        <w:t xml:space="preserve"> </w:t>
      </w:r>
      <w:r w:rsidRPr="00DA046B">
        <w:rPr>
          <w:rFonts w:asciiTheme="majorBidi" w:hAnsiTheme="majorBidi" w:cstheme="majorBidi"/>
          <w:sz w:val="24"/>
          <w:szCs w:val="32"/>
        </w:rPr>
        <w:t>papers.cfm?abstract_id=3577781</w:t>
      </w:r>
      <w:r>
        <w:rPr>
          <w:rFonts w:asciiTheme="majorBidi" w:hAnsiTheme="majorBidi" w:cstheme="majorBidi" w:hint="cs"/>
          <w:rtl/>
        </w:rPr>
        <w:t>.</w:t>
      </w:r>
    </w:p>
    <w:p w:rsidR="008835E9" w:rsidRDefault="008835E9" w:rsidP="008835E9">
      <w:pPr>
        <w:pStyle w:val="Ruller40"/>
        <w:rPr>
          <w:rtl/>
        </w:rPr>
      </w:pPr>
    </w:p>
    <w:p w:rsidR="008835E9" w:rsidRDefault="008835E9" w:rsidP="008835E9">
      <w:pPr>
        <w:pStyle w:val="Ruller40"/>
        <w:rPr>
          <w:rtl/>
        </w:rPr>
      </w:pPr>
      <w:r>
        <w:rPr>
          <w:rFonts w:hint="cs"/>
          <w:rtl/>
        </w:rPr>
        <w:t>11.</w:t>
      </w:r>
      <w:r>
        <w:rPr>
          <w:rFonts w:hint="cs"/>
          <w:rtl/>
        </w:rPr>
        <w:tab/>
        <w:t xml:space="preserve">באשר לסוגיה השניה שעלתה בעתירות, הממוקדת בשאלה האם ההסכם שנחתם בתאריך 20.04.2020 בין </w:t>
      </w:r>
      <w:r w:rsidRPr="00E772CA">
        <w:rPr>
          <w:rFonts w:ascii="Century" w:hAnsi="Century" w:cs="Miriam" w:hint="cs"/>
          <w:b/>
          <w:spacing w:val="0"/>
          <w:szCs w:val="24"/>
          <w:rtl/>
        </w:rPr>
        <w:t>סיעת הליכוד</w:t>
      </w:r>
      <w:r w:rsidRPr="00E772CA">
        <w:rPr>
          <w:rFonts w:hint="cs"/>
          <w:rtl/>
        </w:rPr>
        <w:t xml:space="preserve"> </w:t>
      </w:r>
      <w:r>
        <w:rPr>
          <w:rFonts w:hint="cs"/>
          <w:rtl/>
        </w:rPr>
        <w:t xml:space="preserve">לבין </w:t>
      </w:r>
      <w:r w:rsidRPr="00E772CA">
        <w:rPr>
          <w:rFonts w:ascii="Century" w:hAnsi="Century" w:cs="Miriam" w:hint="cs"/>
          <w:b/>
          <w:spacing w:val="0"/>
          <w:szCs w:val="24"/>
          <w:rtl/>
        </w:rPr>
        <w:t>סיעת כחול לבן</w:t>
      </w:r>
      <w:r w:rsidRPr="00E772CA">
        <w:rPr>
          <w:rFonts w:hint="cs"/>
          <w:rtl/>
        </w:rPr>
        <w:t xml:space="preserve"> </w:t>
      </w:r>
      <w:r>
        <w:rPr>
          <w:rFonts w:hint="cs"/>
          <w:rtl/>
        </w:rPr>
        <w:t xml:space="preserve">(להלן: </w:t>
      </w:r>
      <w:r w:rsidRPr="00E772CA">
        <w:rPr>
          <w:rFonts w:ascii="Century" w:hAnsi="Century" w:cs="Miriam" w:hint="cs"/>
          <w:b/>
          <w:spacing w:val="0"/>
          <w:szCs w:val="24"/>
          <w:rtl/>
        </w:rPr>
        <w:t>ההסכם הקואליציוני</w:t>
      </w:r>
      <w:r>
        <w:rPr>
          <w:rFonts w:hint="cs"/>
          <w:rtl/>
        </w:rPr>
        <w:t xml:space="preserve">) נוגד עקרונות חוקתיים וחוקיים, והאם הוא, או חלקו, סותרים את תקנת הציבור כדי ביטולם </w:t>
      </w:r>
      <w:r>
        <w:rPr>
          <w:rtl/>
        </w:rPr>
        <w:t>–</w:t>
      </w:r>
      <w:r>
        <w:rPr>
          <w:rFonts w:hint="cs"/>
          <w:rtl/>
        </w:rPr>
        <w:t xml:space="preserve"> אני מסכים עם התוצאה אליה הגיעה חברתי, הנשיאה </w:t>
      </w:r>
      <w:r w:rsidRPr="00E84D8C">
        <w:rPr>
          <w:rFonts w:ascii="Century" w:hAnsi="Century" w:cs="Miriam" w:hint="cs"/>
          <w:b/>
          <w:spacing w:val="0"/>
          <w:szCs w:val="24"/>
          <w:rtl/>
        </w:rPr>
        <w:t>א' חיות</w:t>
      </w:r>
      <w:r w:rsidRPr="00E84D8C">
        <w:rPr>
          <w:rFonts w:hint="cs"/>
          <w:rtl/>
        </w:rPr>
        <w:t xml:space="preserve"> </w:t>
      </w:r>
      <w:r>
        <w:rPr>
          <w:rFonts w:hint="cs"/>
          <w:rtl/>
        </w:rPr>
        <w:t xml:space="preserve">ולעיקר נימוקיה, ואולם לתפיסתי יש שני עניינים לגביהם ראוי להוציא פה "מעין התראת בטלות", פן ההסדרים הללו, המפורטים </w:t>
      </w:r>
      <w:r w:rsidRPr="006D76D2">
        <w:rPr>
          <w:rFonts w:ascii="Century" w:hAnsi="Century" w:cs="Miriam" w:hint="cs"/>
          <w:b/>
          <w:spacing w:val="0"/>
          <w:szCs w:val="24"/>
          <w:rtl/>
        </w:rPr>
        <w:t>בהסכם הקואליציו</w:t>
      </w:r>
      <w:r>
        <w:rPr>
          <w:rFonts w:ascii="Century" w:hAnsi="Century" w:cs="Miriam" w:hint="cs"/>
          <w:b/>
          <w:spacing w:val="0"/>
          <w:szCs w:val="24"/>
          <w:rtl/>
        </w:rPr>
        <w:t>ני</w:t>
      </w:r>
      <w:r>
        <w:rPr>
          <w:rFonts w:hint="cs"/>
          <w:rtl/>
        </w:rPr>
        <w:t xml:space="preserve">, יתממשו. נושאים אלה הם: נושא הנהגת </w:t>
      </w:r>
      <w:r w:rsidRPr="001F703D">
        <w:rPr>
          <w:rFonts w:ascii="Century" w:hAnsi="Century" w:cs="Miriam" w:hint="cs"/>
          <w:b/>
          <w:spacing w:val="0"/>
          <w:szCs w:val="24"/>
          <w:rtl/>
        </w:rPr>
        <w:t>החוק הנורבגי המדלג</w:t>
      </w:r>
      <w:r w:rsidRPr="001F703D">
        <w:rPr>
          <w:rFonts w:hint="cs"/>
          <w:rtl/>
        </w:rPr>
        <w:t xml:space="preserve"> </w:t>
      </w:r>
      <w:r>
        <w:rPr>
          <w:rFonts w:hint="cs"/>
          <w:rtl/>
        </w:rPr>
        <w:t xml:space="preserve">ונושא </w:t>
      </w:r>
      <w:r w:rsidRPr="00597A3B">
        <w:rPr>
          <w:rFonts w:hint="cs"/>
          <w:b/>
          <w:bCs/>
          <w:rtl/>
        </w:rPr>
        <w:t>כרסום הזכויות הפרלמנטריות של האופוזיציה</w:t>
      </w:r>
      <w:r>
        <w:rPr>
          <w:rFonts w:hint="cs"/>
          <w:rtl/>
        </w:rPr>
        <w:t xml:space="preserve">. </w:t>
      </w:r>
    </w:p>
    <w:p w:rsidR="008835E9" w:rsidRDefault="008835E9" w:rsidP="008835E9">
      <w:pPr>
        <w:pStyle w:val="Ruller40"/>
        <w:rPr>
          <w:rtl/>
        </w:rPr>
      </w:pPr>
      <w:r>
        <w:rPr>
          <w:rFonts w:hint="cs"/>
          <w:rtl/>
        </w:rPr>
        <w:t xml:space="preserve">לגבי "התראת בטלות" עיינו: </w:t>
      </w:r>
      <w:r w:rsidRPr="00DC0985">
        <w:rPr>
          <w:rtl/>
        </w:rPr>
        <w:t xml:space="preserve">חנן מלצר ואוריאל רוזנברג "התראת הבטלות: דוגמה לדרך האמצע של השופט א' רובינשטיין" </w:t>
      </w:r>
      <w:r w:rsidRPr="00DC0985">
        <w:rPr>
          <w:rFonts w:ascii="Century" w:hAnsi="Century" w:cs="Miriam"/>
          <w:b/>
          <w:spacing w:val="0"/>
          <w:szCs w:val="24"/>
          <w:rtl/>
        </w:rPr>
        <w:t>ספר אליקים רובינשטיין</w:t>
      </w:r>
      <w:r w:rsidRPr="00DC0985">
        <w:rPr>
          <w:rtl/>
        </w:rPr>
        <w:t xml:space="preserve"> (אהרן ברק, מרים ביטון</w:t>
      </w:r>
      <w:r>
        <w:rPr>
          <w:rFonts w:hint="cs"/>
          <w:rtl/>
        </w:rPr>
        <w:t>-מרקוביץ',</w:t>
      </w:r>
      <w:r w:rsidRPr="00DC0985">
        <w:rPr>
          <w:rtl/>
        </w:rPr>
        <w:t xml:space="preserve"> </w:t>
      </w:r>
      <w:r>
        <w:rPr>
          <w:rtl/>
        </w:rPr>
        <w:t>אילה פרוקצ'יה</w:t>
      </w:r>
      <w:r w:rsidRPr="00DC0985">
        <w:rPr>
          <w:rtl/>
        </w:rPr>
        <w:t xml:space="preserve"> ורינת סופר עורכים, צפוי להתפרסם ב-2020)</w:t>
      </w:r>
      <w:r>
        <w:rPr>
          <w:rFonts w:hint="cs"/>
          <w:rtl/>
        </w:rPr>
        <w:t>.</w:t>
      </w:r>
    </w:p>
    <w:p w:rsidR="008835E9" w:rsidRDefault="008835E9" w:rsidP="008835E9">
      <w:pPr>
        <w:pStyle w:val="Ruller40"/>
        <w:rPr>
          <w:rtl/>
        </w:rPr>
      </w:pPr>
    </w:p>
    <w:p w:rsidR="008835E9" w:rsidRDefault="008835E9" w:rsidP="008835E9">
      <w:pPr>
        <w:pStyle w:val="Ruller40"/>
        <w:rPr>
          <w:rtl/>
        </w:rPr>
      </w:pPr>
      <w:r>
        <w:rPr>
          <w:rtl/>
        </w:rPr>
        <w:tab/>
      </w:r>
      <w:r>
        <w:rPr>
          <w:rFonts w:hint="cs"/>
          <w:rtl/>
        </w:rPr>
        <w:t>אביא בתמצית להלן את גישתי בשני העניינים הנ"ל.</w:t>
      </w:r>
    </w:p>
    <w:p w:rsidR="008835E9" w:rsidRDefault="008835E9" w:rsidP="008835E9">
      <w:pPr>
        <w:pStyle w:val="Ruller40"/>
        <w:rPr>
          <w:rtl/>
        </w:rPr>
      </w:pPr>
    </w:p>
    <w:p w:rsidR="008835E9" w:rsidRDefault="008835E9" w:rsidP="008835E9">
      <w:pPr>
        <w:pStyle w:val="Ruller40"/>
        <w:rPr>
          <w:rtl/>
        </w:rPr>
      </w:pPr>
      <w:r>
        <w:rPr>
          <w:rFonts w:hint="cs"/>
          <w:rtl/>
        </w:rPr>
        <w:t>12.</w:t>
      </w:r>
      <w:r>
        <w:rPr>
          <w:rFonts w:hint="cs"/>
          <w:rtl/>
        </w:rPr>
        <w:tab/>
        <w:t xml:space="preserve">המבחנים לבחינת חוקיות של הסכמים פוליטיים נקבעו למעשה לראשונה ב-בג"ץ 1635/90 </w:t>
      </w:r>
      <w:r w:rsidRPr="00D8144B">
        <w:rPr>
          <w:rFonts w:ascii="Century" w:hAnsi="Century" w:cs="Miriam" w:hint="cs"/>
          <w:b/>
          <w:spacing w:val="0"/>
          <w:szCs w:val="24"/>
          <w:rtl/>
        </w:rPr>
        <w:t>ז'רז'בסקי נ' ראש הממשלה יצחק שמיר</w:t>
      </w:r>
      <w:r>
        <w:rPr>
          <w:rFonts w:hint="cs"/>
          <w:rtl/>
        </w:rPr>
        <w:t xml:space="preserve">, פ"ד מה(1) 749 (1991) (להלן: </w:t>
      </w:r>
      <w:r w:rsidRPr="0019693C">
        <w:rPr>
          <w:rFonts w:ascii="Century" w:hAnsi="Century" w:cs="Miriam" w:hint="cs"/>
          <w:b/>
          <w:spacing w:val="0"/>
          <w:szCs w:val="24"/>
          <w:rtl/>
        </w:rPr>
        <w:t>עניין ז'רז'בסקי</w:t>
      </w:r>
      <w:r>
        <w:rPr>
          <w:rFonts w:hint="cs"/>
          <w:rtl/>
        </w:rPr>
        <w:t xml:space="preserve">) ופורטו לאחר מכן בשורה ארוכה של פסקי דין (ראו לדוגמה: בג"ץ 8921/07 </w:t>
      </w:r>
      <w:r w:rsidRPr="00D8144B">
        <w:rPr>
          <w:rFonts w:ascii="Century" w:hAnsi="Century" w:cs="Miriam" w:hint="cs"/>
          <w:b/>
          <w:spacing w:val="0"/>
          <w:szCs w:val="24"/>
          <w:rtl/>
        </w:rPr>
        <w:t xml:space="preserve">מפלגת האיחוד הערבי נ' ח"כ עבאס זכור </w:t>
      </w:r>
      <w:r>
        <w:rPr>
          <w:rFonts w:hint="cs"/>
          <w:rtl/>
        </w:rPr>
        <w:t xml:space="preserve">(28.05.2008) (להלן: </w:t>
      </w:r>
      <w:r w:rsidRPr="006D76D2">
        <w:rPr>
          <w:rFonts w:ascii="Century" w:hAnsi="Century" w:cs="Miriam" w:hint="cs"/>
          <w:b/>
          <w:spacing w:val="0"/>
          <w:szCs w:val="24"/>
          <w:rtl/>
        </w:rPr>
        <w:t>עניין זכור</w:t>
      </w:r>
      <w:r>
        <w:rPr>
          <w:rFonts w:hint="cs"/>
          <w:rtl/>
        </w:rPr>
        <w:t>), וההפניות לפסיקה ולספרות המובאות שם).</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ב-בג"ץ 5364/94 </w:t>
      </w:r>
      <w:r w:rsidRPr="00FE1BE2">
        <w:rPr>
          <w:rFonts w:ascii="Century" w:hAnsi="Century" w:cs="Miriam" w:hint="cs"/>
          <w:b/>
          <w:spacing w:val="0"/>
          <w:szCs w:val="24"/>
          <w:rtl/>
        </w:rPr>
        <w:t>ולנר נ' יושב-ראש מפלגת העבודה הישראלית</w:t>
      </w:r>
      <w:r>
        <w:rPr>
          <w:rFonts w:hint="cs"/>
          <w:rtl/>
        </w:rPr>
        <w:t xml:space="preserve">, פ"ד מט(1) 758 (1995) (להלן: </w:t>
      </w:r>
      <w:r w:rsidRPr="00F20A3F">
        <w:rPr>
          <w:rFonts w:ascii="Century" w:hAnsi="Century" w:cs="Miriam" w:hint="cs"/>
          <w:b/>
          <w:spacing w:val="0"/>
          <w:szCs w:val="24"/>
          <w:rtl/>
        </w:rPr>
        <w:t>עניין ולנר</w:t>
      </w:r>
      <w:r>
        <w:rPr>
          <w:rFonts w:hint="cs"/>
          <w:rtl/>
        </w:rPr>
        <w:t>) נפסק, בין היתר, כדלקמן:</w:t>
      </w:r>
    </w:p>
    <w:p w:rsidR="008835E9" w:rsidRDefault="008835E9" w:rsidP="008835E9">
      <w:pPr>
        <w:pStyle w:val="Ruller40"/>
        <w:rPr>
          <w:rtl/>
        </w:rPr>
      </w:pPr>
    </w:p>
    <w:p w:rsidR="008835E9" w:rsidRDefault="008835E9" w:rsidP="008835E9">
      <w:pPr>
        <w:pStyle w:val="Ruller5"/>
        <w:rPr>
          <w:rtl/>
        </w:rPr>
      </w:pPr>
      <w:r>
        <w:rPr>
          <w:rFonts w:hint="cs"/>
          <w:rtl/>
        </w:rPr>
        <w:t xml:space="preserve">"בית-משפט לא ידיר עצמו מדיון בהסכם פוליטי אך באשר הסכם פוליטי הוא, ובהקשר המתאים יוכל שיכריז עליו </w:t>
      </w:r>
      <w:r>
        <w:rPr>
          <w:rtl/>
        </w:rPr>
        <w:t>–</w:t>
      </w:r>
      <w:r>
        <w:rPr>
          <w:rFonts w:hint="cs"/>
          <w:rtl/>
        </w:rPr>
        <w:t xml:space="preserve"> בין מפורש בין מכללא </w:t>
      </w:r>
      <w:r>
        <w:rPr>
          <w:rtl/>
        </w:rPr>
        <w:t>–</w:t>
      </w:r>
      <w:r>
        <w:rPr>
          <w:rFonts w:hint="cs"/>
          <w:rtl/>
        </w:rPr>
        <w:t xml:space="preserve"> כהסכם בלתי חוקי או כהסכם הנוגד את תקנת הציבור. לשון אחר: היותו של הסכם "פוליטי" לא יקנה לו להסכם "חסינות" מפני הבאתו לבית-משפט כנושא לדיון; בית-משפט יכול שיטפל בו כראוי לו, והוא במקום שעשוי הוא לפגום בעיקר מעיקרי החברה, או ביסוד מיסודי המשפט".</w:t>
      </w:r>
    </w:p>
    <w:p w:rsidR="008835E9" w:rsidRDefault="008835E9" w:rsidP="008835E9">
      <w:pPr>
        <w:pStyle w:val="Ruller40"/>
        <w:rPr>
          <w:rtl/>
        </w:rPr>
      </w:pPr>
    </w:p>
    <w:p w:rsidR="008835E9" w:rsidRDefault="008835E9" w:rsidP="008835E9">
      <w:pPr>
        <w:pStyle w:val="Ruller40"/>
        <w:rPr>
          <w:rtl/>
        </w:rPr>
      </w:pPr>
      <w:r>
        <w:rPr>
          <w:rtl/>
        </w:rPr>
        <w:tab/>
      </w:r>
      <w:r>
        <w:rPr>
          <w:rFonts w:hint="cs"/>
          <w:rtl/>
        </w:rPr>
        <w:t>לאורך השנים, בית המשפט לא מצא לנכון לקבוע רשימה סגורה של עילות פסלות ביחס להסכמים פוליטיים, או לתנאי הסכם מסוג זה, אלא נתן בהן סימנים ואמות מידה להכרעה. בפסק הדין ב</w:t>
      </w:r>
      <w:r w:rsidRPr="00272401">
        <w:rPr>
          <w:rFonts w:ascii="Century" w:hAnsi="Century" w:cs="Miriam" w:hint="cs"/>
          <w:b/>
          <w:spacing w:val="0"/>
          <w:szCs w:val="24"/>
          <w:rtl/>
        </w:rPr>
        <w:t xml:space="preserve">עניין ולנר </w:t>
      </w:r>
      <w:r>
        <w:rPr>
          <w:rFonts w:hint="cs"/>
          <w:rtl/>
        </w:rPr>
        <w:t xml:space="preserve">מנה בית המשפט, מפי כב' הנשיא </w:t>
      </w:r>
      <w:r w:rsidRPr="00272401">
        <w:rPr>
          <w:rFonts w:ascii="Century" w:hAnsi="Century" w:cs="Miriam" w:hint="cs"/>
          <w:b/>
          <w:spacing w:val="0"/>
          <w:szCs w:val="24"/>
          <w:rtl/>
        </w:rPr>
        <w:t>שמגר</w:t>
      </w:r>
      <w:r>
        <w:rPr>
          <w:rFonts w:hint="cs"/>
          <w:rtl/>
        </w:rPr>
        <w:t>, טעמים שונים לפסילת הסכם פוליטי, וכך קבע:</w:t>
      </w:r>
    </w:p>
    <w:p w:rsidR="008835E9" w:rsidRDefault="008835E9" w:rsidP="008835E9">
      <w:pPr>
        <w:pStyle w:val="Ruller40"/>
        <w:rPr>
          <w:rtl/>
        </w:rPr>
      </w:pPr>
    </w:p>
    <w:p w:rsidR="008835E9" w:rsidRDefault="008835E9" w:rsidP="008835E9">
      <w:pPr>
        <w:pStyle w:val="Ruller5"/>
        <w:rPr>
          <w:rtl/>
        </w:rPr>
      </w:pPr>
      <w:r>
        <w:rPr>
          <w:rFonts w:hint="cs"/>
          <w:rtl/>
        </w:rPr>
        <w:t>"פסלנו הסכם קואליציוני כאשר גילינו בו תניות שדבק בהן פסול היורד לשורשו של עניין, הנושא סממני שחיתות או השחתה, בעיקר בתחומי הממון וטוהר המידות, ועל הסכם זה הצהרנו כבטל (בג</w:t>
      </w:r>
      <w:r>
        <w:rPr>
          <w:rtl/>
        </w:rPr>
        <w:t>"</w:t>
      </w:r>
      <w:r>
        <w:rPr>
          <w:rFonts w:hint="cs"/>
          <w:rtl/>
        </w:rPr>
        <w:t>ץ 1523/90, 1540 לוי נ' ראש ממשלת ישראל; פרשת ז'רז'בסקי). אין לראות בכך רשימה סגורה, וניתן להביא דוגמאות נוספות של פגיעה ערכית מהותית, היורדת לשורשו של העניין ומחייבת התערבות שיפוטית, כגון נסיבות בהן יש פגיעה מהותית בתקנת הציבור".</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כב' השופט (כתוארו אז) </w:t>
      </w:r>
      <w:r w:rsidRPr="00356F53">
        <w:rPr>
          <w:rFonts w:ascii="Century" w:hAnsi="Century" w:cs="Miriam" w:hint="cs"/>
          <w:b/>
          <w:spacing w:val="0"/>
          <w:szCs w:val="24"/>
          <w:rtl/>
        </w:rPr>
        <w:t>חשין</w:t>
      </w:r>
      <w:r w:rsidRPr="00356F53">
        <w:rPr>
          <w:rFonts w:hint="cs"/>
          <w:rtl/>
        </w:rPr>
        <w:t xml:space="preserve"> </w:t>
      </w:r>
      <w:r>
        <w:rPr>
          <w:rFonts w:hint="cs"/>
          <w:rtl/>
        </w:rPr>
        <w:t>הוסיף ב</w:t>
      </w:r>
      <w:r w:rsidRPr="00356F53">
        <w:rPr>
          <w:rFonts w:ascii="Century" w:hAnsi="Century" w:cs="Miriam" w:hint="cs"/>
          <w:b/>
          <w:spacing w:val="0"/>
          <w:szCs w:val="24"/>
          <w:rtl/>
        </w:rPr>
        <w:t xml:space="preserve">עניין ולנר </w:t>
      </w:r>
      <w:r>
        <w:rPr>
          <w:rFonts w:hint="cs"/>
          <w:rtl/>
        </w:rPr>
        <w:t xml:space="preserve">כי מקום שעשוי הסכם פוליטי לפגום "בעיקר מעיקרי החברה, או ביסוד מיסודות המשפט" </w:t>
      </w:r>
      <w:r>
        <w:rPr>
          <w:rtl/>
        </w:rPr>
        <w:t>–</w:t>
      </w:r>
      <w:r>
        <w:rPr>
          <w:rFonts w:hint="cs"/>
          <w:rtl/>
        </w:rPr>
        <w:t xml:space="preserve"> דינו פסילה.</w:t>
      </w:r>
    </w:p>
    <w:p w:rsidR="008835E9" w:rsidRDefault="008835E9" w:rsidP="008835E9">
      <w:pPr>
        <w:pStyle w:val="Ruller40"/>
        <w:rPr>
          <w:rtl/>
        </w:rPr>
      </w:pPr>
    </w:p>
    <w:p w:rsidR="008835E9" w:rsidRDefault="008835E9" w:rsidP="008835E9">
      <w:pPr>
        <w:pStyle w:val="Ruller40"/>
        <w:rPr>
          <w:rtl/>
        </w:rPr>
      </w:pPr>
      <w:r>
        <w:rPr>
          <w:rtl/>
        </w:rPr>
        <w:tab/>
      </w:r>
      <w:r>
        <w:rPr>
          <w:rFonts w:hint="cs"/>
          <w:rtl/>
        </w:rPr>
        <w:t>בפסק הדין ב</w:t>
      </w:r>
      <w:r w:rsidRPr="0019693C">
        <w:rPr>
          <w:rFonts w:ascii="Century" w:hAnsi="Century" w:cs="Miriam" w:hint="cs"/>
          <w:b/>
          <w:spacing w:val="0"/>
          <w:szCs w:val="24"/>
          <w:rtl/>
        </w:rPr>
        <w:t xml:space="preserve">עניין ז'רז'בסקי </w:t>
      </w:r>
      <w:r>
        <w:rPr>
          <w:rFonts w:hint="cs"/>
          <w:rtl/>
        </w:rPr>
        <w:t xml:space="preserve">פירט כב' השופט (כתוארו אז) </w:t>
      </w:r>
      <w:r>
        <w:rPr>
          <w:rFonts w:ascii="Century" w:hAnsi="Century" w:cs="Miriam" w:hint="cs"/>
          <w:b/>
          <w:spacing w:val="0"/>
          <w:szCs w:val="24"/>
          <w:rtl/>
        </w:rPr>
        <w:t xml:space="preserve">א' </w:t>
      </w:r>
      <w:r w:rsidRPr="0019693C">
        <w:rPr>
          <w:rFonts w:ascii="Century" w:hAnsi="Century" w:cs="Miriam" w:hint="cs"/>
          <w:b/>
          <w:spacing w:val="0"/>
          <w:szCs w:val="24"/>
          <w:rtl/>
        </w:rPr>
        <w:t>ברק</w:t>
      </w:r>
      <w:r>
        <w:rPr>
          <w:rFonts w:hint="cs"/>
          <w:rtl/>
        </w:rPr>
        <w:t xml:space="preserve"> </w:t>
      </w:r>
      <w:r>
        <w:rPr>
          <w:rtl/>
        </w:rPr>
        <w:t>–</w:t>
      </w:r>
      <w:r>
        <w:rPr>
          <w:rFonts w:hint="cs"/>
          <w:rtl/>
        </w:rPr>
        <w:t xml:space="preserve"> </w:t>
      </w:r>
      <w:r w:rsidRPr="00916E15">
        <w:rPr>
          <w:rFonts w:hint="cs"/>
          <w:rtl/>
        </w:rPr>
        <w:t>בדעת יחיד</w:t>
      </w:r>
      <w:r>
        <w:rPr>
          <w:rFonts w:hint="cs"/>
          <w:rtl/>
        </w:rPr>
        <w:t xml:space="preserve"> </w:t>
      </w:r>
      <w:r>
        <w:rPr>
          <w:rtl/>
        </w:rPr>
        <w:t>–</w:t>
      </w:r>
      <w:r>
        <w:rPr>
          <w:rFonts w:hint="cs"/>
          <w:rtl/>
        </w:rPr>
        <w:t xml:space="preserve"> את הטעמים שלשיטתו מצדיקים פסילת הסכם פוליטי:</w:t>
      </w:r>
    </w:p>
    <w:p w:rsidR="008835E9" w:rsidRDefault="008835E9" w:rsidP="008835E9">
      <w:pPr>
        <w:pStyle w:val="Ruller40"/>
        <w:rPr>
          <w:rtl/>
        </w:rPr>
      </w:pPr>
    </w:p>
    <w:p w:rsidR="008835E9" w:rsidRDefault="008835E9" w:rsidP="008835E9">
      <w:pPr>
        <w:pStyle w:val="Ruller5"/>
        <w:rPr>
          <w:rtl/>
        </w:rPr>
      </w:pPr>
      <w:r>
        <w:rPr>
          <w:rFonts w:hint="cs"/>
          <w:rtl/>
        </w:rPr>
        <w:t xml:space="preserve">"אותם עקרונות עצמם, הנותנים תוקף להסכם פוליטי, הם גם הקובעים כי ההסכם לא יתפוס, אם כריתתו, תוכנו, מטרתו או המשך ביצועו סותרים את תקנת הציבור. כוחו המחייב של ההסכם הפוליטי נשען על תקנת הציבור. משנופלת משענת זו, נופל עמה גם ההסכם הפוליטי. על כן, הסכם פוליטי שתוכנו נוגד את תקנת הציבור </w:t>
      </w:r>
      <w:r>
        <w:rPr>
          <w:rtl/>
        </w:rPr>
        <w:t>–</w:t>
      </w:r>
      <w:r>
        <w:rPr>
          <w:rFonts w:hint="cs"/>
          <w:rtl/>
        </w:rPr>
        <w:t xml:space="preserve"> בין במועד עריכתו ובין במועד שלאחר עריכתו </w:t>
      </w:r>
      <w:r>
        <w:rPr>
          <w:rtl/>
        </w:rPr>
        <w:t>–</w:t>
      </w:r>
      <w:r>
        <w:rPr>
          <w:rFonts w:hint="cs"/>
          <w:rtl/>
        </w:rPr>
        <w:t xml:space="preserve"> בטל הוא. כך, למשל, הסכם קואליציוני, שבו הובטחה תמיכתה של סיעה פרלמנטרית בממשלה תמורת הבטחה שלא לבצע חקירה משטרתית בעניין פלוני או שלא להעמיד לדין חשוד אלמוני או ליתן חנינה לשפוט פלמוני, הינו הסכם הנוגד את תקנת הציבור ועל-כן בטל".</w:t>
      </w:r>
    </w:p>
    <w:p w:rsidR="008835E9" w:rsidRDefault="008835E9" w:rsidP="008835E9">
      <w:pPr>
        <w:pStyle w:val="Ruller5"/>
        <w:rPr>
          <w:rtl/>
        </w:rPr>
      </w:pPr>
    </w:p>
    <w:p w:rsidR="008835E9" w:rsidRDefault="008835E9" w:rsidP="008835E9">
      <w:pPr>
        <w:pStyle w:val="Ruller5"/>
        <w:ind w:left="720"/>
        <w:rPr>
          <w:rtl/>
        </w:rPr>
      </w:pPr>
      <w:r>
        <w:rPr>
          <w:rFonts w:hint="cs"/>
          <w:rtl/>
        </w:rPr>
        <w:t xml:space="preserve"> ראו גם: </w:t>
      </w:r>
      <w:r w:rsidRPr="00597A3B">
        <w:rPr>
          <w:rFonts w:ascii="Century" w:hAnsi="Century" w:cs="Miriam" w:hint="cs"/>
          <w:b/>
          <w:spacing w:val="0"/>
          <w:szCs w:val="24"/>
          <w:rtl/>
        </w:rPr>
        <w:t>שיטרית</w:t>
      </w:r>
      <w:r>
        <w:rPr>
          <w:rFonts w:hint="cs"/>
          <w:rtl/>
        </w:rPr>
        <w:t>, כרך א', עמ' 385-377.</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זה המקום להזכיר כי ב"כ היועץ המשפטי לממשלה, מנהל מחלקת הבג"צים, </w:t>
      </w:r>
      <w:r w:rsidRPr="00377DD1">
        <w:rPr>
          <w:rFonts w:ascii="Century" w:hAnsi="Century" w:cs="Miriam" w:hint="cs"/>
          <w:b/>
          <w:spacing w:val="0"/>
          <w:szCs w:val="24"/>
          <w:rtl/>
        </w:rPr>
        <w:t>עו"ד ענר הלמן</w:t>
      </w:r>
      <w:r w:rsidRPr="00377DD1">
        <w:rPr>
          <w:rFonts w:hint="cs"/>
          <w:rtl/>
        </w:rPr>
        <w:t xml:space="preserve"> </w:t>
      </w:r>
      <w:r>
        <w:rPr>
          <w:rFonts w:hint="cs"/>
          <w:rtl/>
        </w:rPr>
        <w:t>הצהיר בעת הדיון שהתקיים בפנינו כי אכן יש דברים שעלולים להיכלל בהסכם קואליציוני, וראוי לפסול אותם אפילו טרם תחילת הליכי חקיקה, והזכיר כדוגמה מקרים שבהם צדדים להסכם פוליטי יסכימו על קידום חקיקה גזענית.</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דומה עלי שלמצער ההסדר בדבר </w:t>
      </w:r>
      <w:r w:rsidRPr="00856FF8">
        <w:rPr>
          <w:rFonts w:ascii="Century" w:hAnsi="Century" w:cs="Miriam" w:hint="cs"/>
          <w:b/>
          <w:spacing w:val="0"/>
          <w:szCs w:val="24"/>
          <w:rtl/>
        </w:rPr>
        <w:t>החוק הנורבגי המדלג</w:t>
      </w:r>
      <w:r>
        <w:rPr>
          <w:rFonts w:hint="cs"/>
          <w:rtl/>
        </w:rPr>
        <w:t>, הקבוע בסעיף 17 ל</w:t>
      </w:r>
      <w:r w:rsidRPr="00856FF8">
        <w:rPr>
          <w:rFonts w:ascii="Century" w:hAnsi="Century" w:cs="Miriam" w:hint="cs"/>
          <w:b/>
          <w:spacing w:val="0"/>
          <w:szCs w:val="24"/>
          <w:rtl/>
        </w:rPr>
        <w:t>הסכם הקואליציוני</w:t>
      </w:r>
      <w:r>
        <w:rPr>
          <w:rFonts w:hint="cs"/>
          <w:rtl/>
        </w:rPr>
        <w:t>, וכן ההסדרים הכלולים בסעיף 22 ל</w:t>
      </w:r>
      <w:r w:rsidRPr="006D76D2">
        <w:rPr>
          <w:rFonts w:ascii="Century" w:hAnsi="Century" w:cs="Miriam" w:hint="cs"/>
          <w:b/>
          <w:spacing w:val="0"/>
          <w:szCs w:val="24"/>
          <w:rtl/>
        </w:rPr>
        <w:t xml:space="preserve">הסכם הקואליציוני </w:t>
      </w:r>
      <w:r>
        <w:rPr>
          <w:rtl/>
        </w:rPr>
        <w:t>–</w:t>
      </w:r>
      <w:r>
        <w:rPr>
          <w:rFonts w:hint="cs"/>
          <w:rtl/>
        </w:rPr>
        <w:t xml:space="preserve"> נגועים לכאורה באי-חוקתיות, ולכן ראוי להוציא לגביהם "מעין התראת בטלות" </w:t>
      </w:r>
      <w:r>
        <w:rPr>
          <w:rtl/>
        </w:rPr>
        <w:t>–</w:t>
      </w:r>
      <w:r>
        <w:rPr>
          <w:rFonts w:hint="cs"/>
          <w:rtl/>
        </w:rPr>
        <w:t xml:space="preserve"> לבל ימומשו. </w:t>
      </w:r>
    </w:p>
    <w:p w:rsidR="008835E9" w:rsidRDefault="008835E9" w:rsidP="008835E9">
      <w:pPr>
        <w:pStyle w:val="Ruller40"/>
        <w:rPr>
          <w:rtl/>
        </w:rPr>
      </w:pPr>
    </w:p>
    <w:p w:rsidR="008835E9" w:rsidRDefault="008835E9" w:rsidP="008835E9">
      <w:pPr>
        <w:pStyle w:val="Ruller40"/>
        <w:rPr>
          <w:rtl/>
        </w:rPr>
      </w:pPr>
      <w:r>
        <w:rPr>
          <w:rtl/>
        </w:rPr>
        <w:tab/>
      </w:r>
      <w:r>
        <w:rPr>
          <w:rFonts w:hint="cs"/>
          <w:rtl/>
        </w:rPr>
        <w:t>אבהיר הדברים לפי סדרם מיד בסמוך.</w:t>
      </w:r>
    </w:p>
    <w:p w:rsidR="008835E9" w:rsidRDefault="008835E9" w:rsidP="008835E9">
      <w:pPr>
        <w:pStyle w:val="Ruller40"/>
        <w:rPr>
          <w:rtl/>
        </w:rPr>
      </w:pPr>
    </w:p>
    <w:p w:rsidR="008835E9" w:rsidRDefault="008835E9" w:rsidP="008835E9">
      <w:pPr>
        <w:pStyle w:val="Ruller40"/>
        <w:rPr>
          <w:rtl/>
        </w:rPr>
      </w:pPr>
      <w:r>
        <w:rPr>
          <w:rFonts w:hint="cs"/>
          <w:rtl/>
        </w:rPr>
        <w:t>13.</w:t>
      </w:r>
      <w:r>
        <w:rPr>
          <w:rFonts w:hint="cs"/>
          <w:rtl/>
        </w:rPr>
        <w:tab/>
        <w:t>סעיף 17 ל</w:t>
      </w:r>
      <w:r w:rsidRPr="00856FF8">
        <w:rPr>
          <w:rFonts w:ascii="Century" w:hAnsi="Century" w:cs="Miriam" w:hint="cs"/>
          <w:b/>
          <w:spacing w:val="0"/>
          <w:szCs w:val="24"/>
          <w:rtl/>
        </w:rPr>
        <w:t>הסכם הקואליציוני</w:t>
      </w:r>
      <w:r>
        <w:rPr>
          <w:rFonts w:hint="cs"/>
          <w:rtl/>
        </w:rPr>
        <w:t>,</w:t>
      </w:r>
      <w:r w:rsidRPr="00856FF8">
        <w:rPr>
          <w:rFonts w:hint="cs"/>
          <w:rtl/>
        </w:rPr>
        <w:t xml:space="preserve"> </w:t>
      </w:r>
      <w:r>
        <w:rPr>
          <w:rFonts w:hint="cs"/>
          <w:rtl/>
        </w:rPr>
        <w:t xml:space="preserve">המסדיר את מתכונת </w:t>
      </w:r>
      <w:r w:rsidRPr="00856FF8">
        <w:rPr>
          <w:rFonts w:ascii="Century" w:hAnsi="Century" w:cs="Miriam" w:hint="cs"/>
          <w:b/>
          <w:spacing w:val="0"/>
          <w:szCs w:val="24"/>
          <w:rtl/>
        </w:rPr>
        <w:t>החוק הנורבגי המדלג</w:t>
      </w:r>
      <w:r>
        <w:rPr>
          <w:rFonts w:hint="cs"/>
          <w:rtl/>
        </w:rPr>
        <w:t>,</w:t>
      </w:r>
      <w:r w:rsidRPr="00856FF8">
        <w:rPr>
          <w:rFonts w:hint="cs"/>
          <w:rtl/>
        </w:rPr>
        <w:t xml:space="preserve"> </w:t>
      </w:r>
      <w:r>
        <w:rPr>
          <w:rFonts w:hint="cs"/>
          <w:rtl/>
        </w:rPr>
        <w:t>קובע כך:</w:t>
      </w:r>
    </w:p>
    <w:p w:rsidR="008835E9" w:rsidRDefault="008835E9" w:rsidP="008835E9">
      <w:pPr>
        <w:pStyle w:val="Ruller40"/>
        <w:rPr>
          <w:rtl/>
        </w:rPr>
      </w:pPr>
    </w:p>
    <w:p w:rsidR="008835E9" w:rsidRDefault="008835E9" w:rsidP="008835E9">
      <w:pPr>
        <w:pStyle w:val="Ruller5"/>
        <w:rPr>
          <w:rtl/>
        </w:rPr>
      </w:pPr>
      <w:r>
        <w:rPr>
          <w:rFonts w:hint="cs"/>
          <w:rtl/>
        </w:rPr>
        <w:t xml:space="preserve">"א. יחוקק חוק נורבגי שיאפשר לשר או לסגן שר להתפטר מחברותו בכנסת לטובת הבא ברשימת סיעתו, ולחזור ולכהן בכנסת מיד עם התפטרותו מתפקידו המיניסטריאלי. במסגרת החוק ייקבע כי מרגע שחדל שר או סגן שר שהתפטר מן הכנסת במסגרת ההסדר הקבוע בחוק הנורבגי, מלכהן בתפקידו המיניסטריאלי, הוא ישוב באופן אוטומטי לכהן כחבר כנסת, ואחרון חברי הרשימה של סיעתו שמכהן בכנסת באותה עת, יחדל מלכהן בה. </w:t>
      </w:r>
    </w:p>
    <w:p w:rsidR="008835E9" w:rsidRDefault="008835E9" w:rsidP="008835E9">
      <w:pPr>
        <w:pStyle w:val="Ruller5"/>
        <w:rPr>
          <w:rtl/>
        </w:rPr>
      </w:pPr>
    </w:p>
    <w:p w:rsidR="008835E9" w:rsidRDefault="008835E9" w:rsidP="008835E9">
      <w:pPr>
        <w:pStyle w:val="Ruller5"/>
        <w:rPr>
          <w:rtl/>
        </w:rPr>
      </w:pPr>
      <w:r>
        <w:rPr>
          <w:rFonts w:hint="cs"/>
          <w:rtl/>
        </w:rPr>
        <w:t xml:space="preserve">ב. בחוק ייקבע כי לעניין רשימת מועמדים המורכבת מצירוף של מפלגות, ייראה כל מרכיב שלה לצרכי החוק הנורבגי כסיעה נפרדת, באופן שבמקום שר או סגן שר שיתפטר מן הכנסת, יבוא המועמד הראשון ברשימה שאינו חבר כנסת הנמנה עם מפלגתו של השר או סגן השר בהתאם לרישום שנעשה בעת אישור רשימת המועמדים לכנסת על ידי ועדת הבחירות המרכזית. </w:t>
      </w:r>
    </w:p>
    <w:p w:rsidR="008835E9" w:rsidRDefault="008835E9" w:rsidP="008835E9">
      <w:pPr>
        <w:pStyle w:val="Ruller5"/>
        <w:rPr>
          <w:rtl/>
        </w:rPr>
      </w:pPr>
    </w:p>
    <w:p w:rsidR="008835E9" w:rsidRDefault="008835E9" w:rsidP="008835E9">
      <w:pPr>
        <w:pStyle w:val="Ruller5"/>
        <w:rPr>
          <w:rtl/>
        </w:rPr>
      </w:pPr>
      <w:r>
        <w:rPr>
          <w:rFonts w:hint="cs"/>
          <w:rtl/>
        </w:rPr>
        <w:t>ג. מספר השרים וסגני השרים שיוכלו להתפטר מן הכנסת במסגרת ההסדר הקבוע בחוק הנורבגי לא יעלה על חמישה מכל סיעה בת פחות מ-20 חברי כנסת, אך לא יותר משליש סיעה או שני חברי כנסת הגבוה מביניהם ולא יעלה על 2 מכל סיעה בת יותר מ-20 חברי כנסת בעת ובעונה אחת."</w:t>
      </w:r>
    </w:p>
    <w:p w:rsidR="008835E9" w:rsidRDefault="008835E9" w:rsidP="008835E9">
      <w:pPr>
        <w:pStyle w:val="Ruller5"/>
        <w:rPr>
          <w:rtl/>
        </w:rPr>
      </w:pPr>
    </w:p>
    <w:p w:rsidR="008835E9" w:rsidRDefault="008835E9" w:rsidP="008835E9">
      <w:pPr>
        <w:pStyle w:val="Ruller40"/>
        <w:rPr>
          <w:rtl/>
        </w:rPr>
      </w:pPr>
      <w:r>
        <w:rPr>
          <w:rtl/>
        </w:rPr>
        <w:tab/>
      </w:r>
      <w:r>
        <w:rPr>
          <w:rFonts w:hint="cs"/>
          <w:rtl/>
        </w:rPr>
        <w:t>ב"כ הסיעות וכן ב"כ של ראש הממשלה מסרו בהקשר זה, בהודעת העדכון שהגישו בתאריך 05.05.2020, כדלקמן:</w:t>
      </w:r>
    </w:p>
    <w:p w:rsidR="008835E9" w:rsidRDefault="008835E9" w:rsidP="008835E9">
      <w:pPr>
        <w:pStyle w:val="Ruller5"/>
        <w:rPr>
          <w:rtl/>
        </w:rPr>
      </w:pPr>
    </w:p>
    <w:p w:rsidR="008835E9" w:rsidRDefault="008835E9" w:rsidP="008835E9">
      <w:pPr>
        <w:pStyle w:val="Ruller5"/>
        <w:rPr>
          <w:rtl/>
        </w:rPr>
      </w:pPr>
      <w:r>
        <w:rPr>
          <w:rFonts w:hint="cs"/>
          <w:rtl/>
        </w:rPr>
        <w:t xml:space="preserve">"החוק הנורבגי </w:t>
      </w:r>
      <w:r>
        <w:rPr>
          <w:rtl/>
        </w:rPr>
        <w:t>–</w:t>
      </w:r>
      <w:r>
        <w:rPr>
          <w:rFonts w:hint="cs"/>
          <w:rtl/>
        </w:rPr>
        <w:t xml:space="preserve"> שמענו את הערות בית המשפט הנכבד וכידוע טרם הוגשה הצעת החוק הרלוונטית. בימים אלה אנו מגבשים את הצעת החוק. בכל מקרה, יובהר כי השבעת הממשלה אינה תלויה בקידום הצעת החוק".</w:t>
      </w:r>
    </w:p>
    <w:p w:rsidR="008835E9" w:rsidRDefault="008835E9" w:rsidP="008835E9">
      <w:pPr>
        <w:pStyle w:val="Ruller40"/>
        <w:rPr>
          <w:rtl/>
        </w:rPr>
      </w:pPr>
    </w:p>
    <w:p w:rsidR="008835E9" w:rsidRDefault="008835E9" w:rsidP="007D13AB">
      <w:pPr>
        <w:pStyle w:val="Ruller40"/>
        <w:rPr>
          <w:rtl/>
        </w:rPr>
      </w:pPr>
      <w:r>
        <w:rPr>
          <w:rtl/>
        </w:rPr>
        <w:tab/>
      </w:r>
      <w:r>
        <w:rPr>
          <w:rFonts w:hint="cs"/>
          <w:rtl/>
        </w:rPr>
        <w:t>אם לא היתה ניתנת ההצהרה הנ"ל, הייתי נוטה לדעה שנושא זה כלול באותם מקרים נדירים שכבר בשלב זה היה מקום להכריז על בטלותם, שכן רעיון ה"דילוג", הכלול בסעיף 17 הנ"ל ל</w:t>
      </w:r>
      <w:r w:rsidRPr="006D76D2">
        <w:rPr>
          <w:rFonts w:ascii="Century" w:hAnsi="Century" w:cs="Miriam" w:hint="cs"/>
          <w:b/>
          <w:spacing w:val="0"/>
          <w:szCs w:val="24"/>
          <w:rtl/>
        </w:rPr>
        <w:t xml:space="preserve">הסכם הקואליציוני </w:t>
      </w:r>
      <w:r>
        <w:rPr>
          <w:rFonts w:hint="cs"/>
          <w:rtl/>
        </w:rPr>
        <w:t xml:space="preserve">הוא בעייתי ביותר מבחינה חוקתית (אימוץ "ההסדר הנורבגי הרגיל" אף ללא "דילוג" </w:t>
      </w:r>
      <w:r>
        <w:rPr>
          <w:rtl/>
        </w:rPr>
        <w:t>–</w:t>
      </w:r>
      <w:r>
        <w:rPr>
          <w:rFonts w:hint="cs"/>
          <w:rtl/>
        </w:rPr>
        <w:t xml:space="preserve"> מעורר </w:t>
      </w:r>
      <w:r w:rsidR="007D13AB">
        <w:rPr>
          <w:rFonts w:hint="cs"/>
          <w:rtl/>
        </w:rPr>
        <w:t>גם</w:t>
      </w:r>
      <w:r>
        <w:rPr>
          <w:rFonts w:hint="cs"/>
          <w:rtl/>
        </w:rPr>
        <w:t xml:space="preserve"> הוא קשיים חוקתיים לא מעטים, במיוחד אם הוא נעשה לאחר הבחירות, הכל כמוסבר אצל </w:t>
      </w:r>
      <w:r w:rsidRPr="005758F4">
        <w:rPr>
          <w:rFonts w:ascii="Century" w:hAnsi="Century" w:cs="Miriam" w:hint="cs"/>
          <w:b/>
          <w:spacing w:val="0"/>
          <w:szCs w:val="24"/>
          <w:rtl/>
        </w:rPr>
        <w:t>שיטרית</w:t>
      </w:r>
      <w:r w:rsidRPr="0008314D">
        <w:rPr>
          <w:rFonts w:hint="cs"/>
          <w:rtl/>
        </w:rPr>
        <w:t>,</w:t>
      </w:r>
      <w:r>
        <w:rPr>
          <w:rFonts w:hint="cs"/>
          <w:rtl/>
        </w:rPr>
        <w:t xml:space="preserve"> </w:t>
      </w:r>
      <w:r w:rsidRPr="0008314D">
        <w:rPr>
          <w:rFonts w:hint="cs"/>
          <w:rtl/>
        </w:rPr>
        <w:t>כרך א'</w:t>
      </w:r>
      <w:r w:rsidRPr="0072361E">
        <w:rPr>
          <w:rFonts w:hint="cs"/>
          <w:rtl/>
        </w:rPr>
        <w:t xml:space="preserve"> </w:t>
      </w:r>
      <w:r>
        <w:rPr>
          <w:rFonts w:hint="cs"/>
          <w:rtl/>
        </w:rPr>
        <w:t xml:space="preserve">                   בעמ' 325-324, ואולם בנושא זה לא אקבע עתה מסמרות כלשהן). </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עם זאת, משניתנה ההצהרה הנ"ל </w:t>
      </w:r>
      <w:r>
        <w:rPr>
          <w:rtl/>
        </w:rPr>
        <w:t>–</w:t>
      </w:r>
      <w:r>
        <w:rPr>
          <w:rFonts w:hint="cs"/>
          <w:rtl/>
        </w:rPr>
        <w:t xml:space="preserve"> ראוי להסתפק, לשיטתי, רק ב"מעין התראת בטלות", ונימוקי לכך יפורשו להלן.</w:t>
      </w:r>
    </w:p>
    <w:p w:rsidR="008835E9" w:rsidRDefault="008835E9" w:rsidP="008835E9">
      <w:pPr>
        <w:pStyle w:val="Ruller40"/>
        <w:rPr>
          <w:rtl/>
        </w:rPr>
      </w:pPr>
    </w:p>
    <w:p w:rsidR="008835E9" w:rsidRDefault="008835E9" w:rsidP="008835E9">
      <w:pPr>
        <w:pStyle w:val="Ruller40"/>
        <w:rPr>
          <w:rtl/>
        </w:rPr>
      </w:pPr>
      <w:r>
        <w:rPr>
          <w:rFonts w:hint="cs"/>
          <w:rtl/>
        </w:rPr>
        <w:t>14.</w:t>
      </w:r>
      <w:r>
        <w:rPr>
          <w:rtl/>
        </w:rPr>
        <w:tab/>
      </w:r>
      <w:r>
        <w:rPr>
          <w:rFonts w:hint="cs"/>
          <w:rtl/>
        </w:rPr>
        <w:t xml:space="preserve">על מנת להכניס למבנה החוקתי שלנו את </w:t>
      </w:r>
      <w:r w:rsidRPr="001F703D">
        <w:rPr>
          <w:rFonts w:ascii="Century" w:hAnsi="Century" w:cs="Miriam" w:hint="cs"/>
          <w:b/>
          <w:spacing w:val="0"/>
          <w:szCs w:val="24"/>
          <w:rtl/>
        </w:rPr>
        <w:t>החוק הנורבגי המדלג</w:t>
      </w:r>
      <w:r w:rsidRPr="001F703D">
        <w:rPr>
          <w:rFonts w:hint="cs"/>
          <w:rtl/>
        </w:rPr>
        <w:t xml:space="preserve"> </w:t>
      </w:r>
      <w:r>
        <w:rPr>
          <w:rFonts w:hint="cs"/>
          <w:rtl/>
        </w:rPr>
        <w:t>יש צורך בתיקון סעיף 43(א) ל</w:t>
      </w:r>
      <w:r w:rsidRPr="001F703D">
        <w:rPr>
          <w:rFonts w:ascii="Century" w:hAnsi="Century" w:cs="Miriam" w:hint="cs"/>
          <w:b/>
          <w:spacing w:val="0"/>
          <w:szCs w:val="24"/>
          <w:rtl/>
        </w:rPr>
        <w:t>חוק-יסוד: הכנסת</w:t>
      </w:r>
      <w:r>
        <w:rPr>
          <w:rFonts w:hint="cs"/>
          <w:rtl/>
        </w:rPr>
        <w:t>, המורה כך:</w:t>
      </w:r>
    </w:p>
    <w:p w:rsidR="008835E9" w:rsidRDefault="008835E9" w:rsidP="008835E9">
      <w:pPr>
        <w:pStyle w:val="Ruller40"/>
        <w:rPr>
          <w:rtl/>
        </w:rPr>
      </w:pPr>
    </w:p>
    <w:p w:rsidR="008835E9" w:rsidRDefault="008835E9" w:rsidP="008835E9">
      <w:pPr>
        <w:pStyle w:val="Ruller5"/>
        <w:rPr>
          <w:rtl/>
        </w:rPr>
      </w:pPr>
      <w:r>
        <w:rPr>
          <w:rFonts w:hint="cs"/>
          <w:rtl/>
        </w:rPr>
        <w:t xml:space="preserve">"נתפנתה משרתו של חבר הכנסת, יבוא במקומו </w:t>
      </w:r>
      <w:r>
        <w:rPr>
          <w:rtl/>
        </w:rPr>
        <w:t>–</w:t>
      </w:r>
      <w:r>
        <w:rPr>
          <w:rFonts w:hint="cs"/>
          <w:rtl/>
        </w:rPr>
        <w:t xml:space="preserve"> מתוך רשימת המועמדים שכללה את שמו </w:t>
      </w:r>
      <w:r>
        <w:rPr>
          <w:rtl/>
        </w:rPr>
        <w:t>–</w:t>
      </w:r>
      <w:r>
        <w:rPr>
          <w:rFonts w:hint="cs"/>
          <w:rtl/>
        </w:rPr>
        <w:t xml:space="preserve"> המועמד ששמו נקוב ראשון אחרי שמו של אחרון הנבחרים".</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שינוי הוראה זו על דרך של "דילוג" על פני מועמד ששמו נקוב ראשון אחרי שמו של אחרון הנבחרים מצדיק הוצאה של "מעין התראת בטלות", שכן תיקון שכזה יש בו ניסיון לשנות </w:t>
      </w:r>
      <w:r w:rsidRPr="00DA5668">
        <w:rPr>
          <w:rFonts w:ascii="Century" w:hAnsi="Century" w:cs="Miriam" w:hint="cs"/>
          <w:b/>
          <w:spacing w:val="0"/>
          <w:szCs w:val="24"/>
          <w:rtl/>
        </w:rPr>
        <w:t>בדיעבד</w:t>
      </w:r>
      <w:r w:rsidRPr="00DA5668">
        <w:rPr>
          <w:rFonts w:hint="cs"/>
          <w:rtl/>
        </w:rPr>
        <w:t xml:space="preserve"> </w:t>
      </w:r>
      <w:r>
        <w:rPr>
          <w:rFonts w:hint="cs"/>
          <w:rtl/>
        </w:rPr>
        <w:t xml:space="preserve">ובאופן </w:t>
      </w:r>
      <w:r w:rsidRPr="00404DD3">
        <w:rPr>
          <w:rFonts w:ascii="Century" w:hAnsi="Century" w:cs="Miriam" w:hint="cs"/>
          <w:b/>
          <w:spacing w:val="0"/>
          <w:szCs w:val="24"/>
          <w:rtl/>
        </w:rPr>
        <w:t>פרסונלי</w:t>
      </w:r>
      <w:r w:rsidRPr="00404DD3">
        <w:rPr>
          <w:rFonts w:hint="cs"/>
          <w:rtl/>
        </w:rPr>
        <w:t xml:space="preserve"> </w:t>
      </w:r>
      <w:r>
        <w:rPr>
          <w:rtl/>
        </w:rPr>
        <w:t>–</w:t>
      </w:r>
      <w:r>
        <w:rPr>
          <w:rFonts w:hint="cs"/>
          <w:rtl/>
        </w:rPr>
        <w:t xml:space="preserve"> </w:t>
      </w:r>
      <w:r w:rsidRPr="0072361E">
        <w:rPr>
          <w:rFonts w:hint="cs"/>
          <w:b/>
          <w:bCs/>
          <w:rtl/>
        </w:rPr>
        <w:t>לאחר הבחירות</w:t>
      </w:r>
      <w:r>
        <w:rPr>
          <w:rFonts w:hint="cs"/>
          <w:rtl/>
        </w:rPr>
        <w:t xml:space="preserve"> </w:t>
      </w:r>
      <w:r>
        <w:rPr>
          <w:rtl/>
        </w:rPr>
        <w:t>–</w:t>
      </w:r>
      <w:r>
        <w:rPr>
          <w:rFonts w:hint="cs"/>
          <w:rtl/>
        </w:rPr>
        <w:t xml:space="preserve"> את תוצאות הבחירות, תוך כדי פגיעה מהותית בזכות לבחור ולהיבחר.</w:t>
      </w:r>
    </w:p>
    <w:p w:rsidR="008835E9" w:rsidRPr="00691603" w:rsidRDefault="008835E9" w:rsidP="008835E9">
      <w:pPr>
        <w:pStyle w:val="Ruller40"/>
        <w:rPr>
          <w:sz w:val="8"/>
          <w:szCs w:val="12"/>
          <w:rtl/>
        </w:rPr>
      </w:pPr>
    </w:p>
    <w:p w:rsidR="008835E9" w:rsidRDefault="008835E9" w:rsidP="008835E9">
      <w:pPr>
        <w:pStyle w:val="Ruller40"/>
        <w:rPr>
          <w:rtl/>
        </w:rPr>
      </w:pPr>
      <w:r>
        <w:rPr>
          <w:rtl/>
        </w:rPr>
        <w:tab/>
      </w:r>
      <w:r>
        <w:rPr>
          <w:rFonts w:hint="cs"/>
          <w:rtl/>
        </w:rPr>
        <w:t xml:space="preserve">ניסיון דומה לשנות בדיעבד (לאחר הבחירות לכנסת) את יחידות המימון שהיו תקפות עובר לבחירות (ובכך להכשיר למפרע את מי שחרג מהוראות החוק) אגב פגיעה בזכות לבחור ולהיבחר ובהוראת השוויון הכלולה בה </w:t>
      </w:r>
      <w:r>
        <w:rPr>
          <w:rtl/>
        </w:rPr>
        <w:t>–</w:t>
      </w:r>
      <w:r>
        <w:rPr>
          <w:rFonts w:hint="cs"/>
          <w:rtl/>
        </w:rPr>
        <w:t xml:space="preserve"> נפסל ב-בג"ץ 141/82 </w:t>
      </w:r>
      <w:r w:rsidRPr="00D07464">
        <w:rPr>
          <w:rFonts w:ascii="Century" w:hAnsi="Century" w:cs="Miriam" w:hint="cs"/>
          <w:b/>
          <w:spacing w:val="0"/>
          <w:szCs w:val="24"/>
          <w:rtl/>
        </w:rPr>
        <w:t>ח"כ אמנון רובינשטיין נ' יושב-ראש הכנסת</w:t>
      </w:r>
      <w:r>
        <w:rPr>
          <w:rFonts w:hint="cs"/>
          <w:rtl/>
        </w:rPr>
        <w:t>, פ"ד לז(3) 141 (1983).</w:t>
      </w:r>
    </w:p>
    <w:p w:rsidR="008835E9" w:rsidRPr="00691603" w:rsidRDefault="008835E9" w:rsidP="008835E9">
      <w:pPr>
        <w:pStyle w:val="Ruller40"/>
        <w:rPr>
          <w:sz w:val="18"/>
          <w:szCs w:val="24"/>
          <w:rtl/>
        </w:rPr>
      </w:pPr>
    </w:p>
    <w:p w:rsidR="008835E9" w:rsidRDefault="008835E9" w:rsidP="008835E9">
      <w:pPr>
        <w:pStyle w:val="Ruller40"/>
        <w:rPr>
          <w:rtl/>
        </w:rPr>
      </w:pPr>
      <w:r>
        <w:rPr>
          <w:rtl/>
        </w:rPr>
        <w:tab/>
      </w:r>
      <w:r>
        <w:rPr>
          <w:rFonts w:hint="cs"/>
          <w:rtl/>
        </w:rPr>
        <w:t xml:space="preserve">ב"כ סיעת הליכוד, </w:t>
      </w:r>
      <w:r w:rsidRPr="00540BF9">
        <w:rPr>
          <w:rFonts w:ascii="Century" w:hAnsi="Century" w:cs="Miriam" w:hint="cs"/>
          <w:b/>
          <w:spacing w:val="0"/>
          <w:szCs w:val="24"/>
          <w:rtl/>
        </w:rPr>
        <w:t>עו"ד אבי הלוי</w:t>
      </w:r>
      <w:r w:rsidRPr="00540BF9">
        <w:rPr>
          <w:rFonts w:hint="cs"/>
          <w:rtl/>
        </w:rPr>
        <w:t xml:space="preserve"> </w:t>
      </w:r>
      <w:r>
        <w:rPr>
          <w:rFonts w:hint="cs"/>
          <w:rtl/>
        </w:rPr>
        <w:t>הצהיר בהקשר זה, בדיון שהתקיים בפנינו, כי אכן יש עקרונות-בסיס קונסטיטוציוניים (כמו: הזכות לבחור ולהיבחר, או מעמדן של כל אחת משלושת הרשויות: המחוקקת, המבצעת והשופטת), שאין לפגוע בהם בחקיקה, או אפילו בתיקון של חוקי-יסוד.</w:t>
      </w:r>
    </w:p>
    <w:p w:rsidR="008835E9" w:rsidRDefault="008835E9" w:rsidP="008835E9">
      <w:pPr>
        <w:pStyle w:val="Ruller40"/>
        <w:rPr>
          <w:rFonts w:asciiTheme="majorBidi" w:hAnsiTheme="majorBidi" w:cstheme="majorBidi"/>
          <w:sz w:val="20"/>
          <w:szCs w:val="24"/>
          <w:rtl/>
        </w:rPr>
      </w:pPr>
      <w:r>
        <w:rPr>
          <w:rFonts w:hint="cs"/>
          <w:rtl/>
        </w:rPr>
        <w:t xml:space="preserve">השוו: יניב רוזנאי "שימוש לרעה בחוק יסוד" (עתיד להתפרסם בספר </w:t>
      </w:r>
      <w:r w:rsidRPr="0072361E">
        <w:rPr>
          <w:rFonts w:ascii="Century" w:hAnsi="Century" w:cs="Miriam" w:hint="cs"/>
          <w:b/>
          <w:spacing w:val="0"/>
          <w:szCs w:val="24"/>
          <w:rtl/>
        </w:rPr>
        <w:t>אליקים רובינשטיין</w:t>
      </w:r>
      <w:r>
        <w:rPr>
          <w:rFonts w:hint="cs"/>
          <w:rtl/>
        </w:rPr>
        <w:t xml:space="preserve">); </w:t>
      </w:r>
      <w:r w:rsidRPr="0072361E">
        <w:rPr>
          <w:rFonts w:asciiTheme="majorBidi" w:hAnsiTheme="majorBidi" w:cstheme="majorBidi"/>
          <w:sz w:val="24"/>
          <w:szCs w:val="32"/>
        </w:rPr>
        <w:t xml:space="preserve">Suzie Navot and Yaniv Roznai, </w:t>
      </w:r>
      <w:r w:rsidRPr="0072361E">
        <w:rPr>
          <w:rFonts w:asciiTheme="majorBidi" w:hAnsiTheme="majorBidi" w:cstheme="majorBidi"/>
          <w:i/>
          <w:iCs/>
          <w:sz w:val="24"/>
          <w:szCs w:val="32"/>
        </w:rPr>
        <w:t>From Supra-Constitutional Principles to the Misuse of Constituent Power in Israel</w:t>
      </w:r>
      <w:r w:rsidRPr="0072361E">
        <w:rPr>
          <w:rFonts w:asciiTheme="majorBidi" w:hAnsiTheme="majorBidi" w:cstheme="majorBidi"/>
          <w:sz w:val="24"/>
          <w:szCs w:val="32"/>
        </w:rPr>
        <w:t xml:space="preserve">, 21(3) </w:t>
      </w:r>
      <w:r w:rsidRPr="0072361E">
        <w:rPr>
          <w:rFonts w:asciiTheme="majorBidi" w:hAnsiTheme="majorBidi" w:cstheme="majorBidi"/>
          <w:smallCaps/>
          <w:sz w:val="24"/>
          <w:szCs w:val="32"/>
        </w:rPr>
        <w:t>European Journal of Law and Reform</w:t>
      </w:r>
      <w:r w:rsidRPr="0072361E">
        <w:rPr>
          <w:rFonts w:asciiTheme="majorBidi" w:hAnsiTheme="majorBidi" w:cstheme="majorBidi"/>
          <w:sz w:val="24"/>
          <w:szCs w:val="32"/>
        </w:rPr>
        <w:t>, 403-423 (2019</w:t>
      </w:r>
      <w:r w:rsidRPr="009D77C5">
        <w:rPr>
          <w:rFonts w:asciiTheme="majorBidi" w:hAnsiTheme="majorBidi" w:cstheme="majorBidi"/>
          <w:sz w:val="24"/>
          <w:szCs w:val="24"/>
        </w:rPr>
        <w:t>)</w:t>
      </w:r>
      <w:r w:rsidRPr="0072361E">
        <w:rPr>
          <w:rFonts w:asciiTheme="majorBidi" w:hAnsiTheme="majorBidi" w:cstheme="majorBidi"/>
          <w:sz w:val="24"/>
          <w:szCs w:val="32"/>
        </w:rPr>
        <w:t>;</w:t>
      </w:r>
      <w:r>
        <w:rPr>
          <w:rFonts w:asciiTheme="majorBidi" w:hAnsiTheme="majorBidi" w:cstheme="majorBidi"/>
          <w:sz w:val="24"/>
          <w:szCs w:val="24"/>
        </w:rPr>
        <w:t xml:space="preserve"> </w:t>
      </w:r>
      <w:r w:rsidRPr="0072361E">
        <w:rPr>
          <w:rFonts w:asciiTheme="majorBidi" w:hAnsiTheme="majorBidi" w:cstheme="majorBidi"/>
          <w:sz w:val="24"/>
          <w:szCs w:val="32"/>
        </w:rPr>
        <w:t xml:space="preserve">Yaniv Roznai, </w:t>
      </w:r>
      <w:r w:rsidRPr="0072361E">
        <w:rPr>
          <w:rFonts w:asciiTheme="majorBidi" w:hAnsiTheme="majorBidi" w:cstheme="majorBidi"/>
          <w:i/>
          <w:iCs/>
          <w:sz w:val="24"/>
          <w:szCs w:val="32"/>
        </w:rPr>
        <w:t>Who will Save the Redheads? Towards an Anti-Bully Theory of Judicial Review and Protection of Democracy</w:t>
      </w:r>
      <w:r w:rsidRPr="0072361E">
        <w:rPr>
          <w:rFonts w:asciiTheme="majorBidi" w:hAnsiTheme="majorBidi" w:cstheme="majorBidi"/>
          <w:sz w:val="24"/>
          <w:szCs w:val="32"/>
        </w:rPr>
        <w:t xml:space="preserve">, 29 </w:t>
      </w:r>
      <w:r w:rsidRPr="0072361E">
        <w:rPr>
          <w:rFonts w:asciiTheme="majorBidi" w:hAnsiTheme="majorBidi" w:cstheme="majorBidi"/>
          <w:smallCaps/>
          <w:sz w:val="24"/>
          <w:szCs w:val="32"/>
        </w:rPr>
        <w:t>William &amp; Mary Bill Rights J.</w:t>
      </w:r>
      <w:r w:rsidRPr="0072361E">
        <w:rPr>
          <w:rFonts w:asciiTheme="majorBidi" w:hAnsiTheme="majorBidi" w:cstheme="majorBidi"/>
          <w:sz w:val="24"/>
          <w:szCs w:val="32"/>
        </w:rPr>
        <w:t xml:space="preserve"> (forthcoming 2020); Yaniv Roznai &amp; Tamar Hostovsky Brandes, </w:t>
      </w:r>
      <w:r w:rsidRPr="0072361E">
        <w:rPr>
          <w:rFonts w:asciiTheme="majorBidi" w:hAnsiTheme="majorBidi" w:cstheme="majorBidi"/>
          <w:i/>
          <w:iCs/>
          <w:sz w:val="24"/>
          <w:szCs w:val="32"/>
        </w:rPr>
        <w:t>Constitutional Unamendability in the Age of Populism</w:t>
      </w:r>
      <w:r w:rsidRPr="0072361E">
        <w:rPr>
          <w:rFonts w:asciiTheme="majorBidi" w:hAnsiTheme="majorBidi" w:cstheme="majorBidi"/>
          <w:sz w:val="24"/>
          <w:szCs w:val="32"/>
        </w:rPr>
        <w:t xml:space="preserve">, </w:t>
      </w:r>
      <w:r w:rsidRPr="0072361E">
        <w:rPr>
          <w:rFonts w:asciiTheme="majorBidi" w:hAnsiTheme="majorBidi" w:cstheme="majorBidi"/>
          <w:smallCaps/>
          <w:sz w:val="24"/>
          <w:szCs w:val="32"/>
        </w:rPr>
        <w:t>L. &amp; Ethics Human Rights</w:t>
      </w:r>
      <w:r w:rsidRPr="0072361E">
        <w:rPr>
          <w:rFonts w:asciiTheme="majorBidi" w:hAnsiTheme="majorBidi" w:cstheme="majorBidi"/>
          <w:sz w:val="24"/>
          <w:szCs w:val="32"/>
        </w:rPr>
        <w:t xml:space="preserve"> (Forthcoming 2020)</w:t>
      </w:r>
      <w:r>
        <w:rPr>
          <w:rFonts w:asciiTheme="majorBidi" w:hAnsiTheme="majorBidi" w:cstheme="majorBidi" w:hint="cs"/>
          <w:sz w:val="20"/>
          <w:szCs w:val="24"/>
          <w:rtl/>
        </w:rPr>
        <w:t>.</w:t>
      </w:r>
    </w:p>
    <w:p w:rsidR="008835E9" w:rsidRPr="00691603" w:rsidRDefault="008835E9" w:rsidP="008835E9">
      <w:pPr>
        <w:pStyle w:val="Ruller40"/>
        <w:rPr>
          <w:sz w:val="12"/>
          <w:szCs w:val="18"/>
          <w:rtl/>
        </w:rPr>
      </w:pPr>
    </w:p>
    <w:p w:rsidR="008835E9" w:rsidRDefault="008835E9" w:rsidP="008835E9">
      <w:pPr>
        <w:pStyle w:val="Ruller40"/>
        <w:rPr>
          <w:rtl/>
        </w:rPr>
      </w:pPr>
      <w:r>
        <w:rPr>
          <w:rtl/>
        </w:rPr>
        <w:tab/>
      </w:r>
      <w:r>
        <w:rPr>
          <w:rFonts w:hint="cs"/>
          <w:rtl/>
        </w:rPr>
        <w:t xml:space="preserve">מכאן עולה שבמדינה דמוקרטית שינוי של תוצאות הבחירות לאחר הבחירות </w:t>
      </w:r>
      <w:r>
        <w:rPr>
          <w:rtl/>
        </w:rPr>
        <w:t>–</w:t>
      </w:r>
      <w:r>
        <w:rPr>
          <w:rFonts w:hint="cs"/>
          <w:rtl/>
        </w:rPr>
        <w:t xml:space="preserve"> </w:t>
      </w:r>
      <w:r w:rsidRPr="00D07464">
        <w:rPr>
          <w:rFonts w:ascii="Century" w:hAnsi="Century" w:cs="Miriam" w:hint="cs"/>
          <w:b/>
          <w:spacing w:val="0"/>
          <w:szCs w:val="24"/>
          <w:rtl/>
        </w:rPr>
        <w:t>אסור</w:t>
      </w:r>
      <w:r>
        <w:rPr>
          <w:rFonts w:hint="cs"/>
          <w:rtl/>
        </w:rPr>
        <w:t xml:space="preserve">. ניתן לקבוע לפיכך כבר עתה שהרעיון העומד מאחורי </w:t>
      </w:r>
      <w:r w:rsidRPr="00D07464">
        <w:rPr>
          <w:rFonts w:ascii="Century" w:hAnsi="Century" w:cs="Miriam" w:hint="cs"/>
          <w:b/>
          <w:spacing w:val="0"/>
          <w:szCs w:val="24"/>
          <w:rtl/>
        </w:rPr>
        <w:t>החוק הנורבגי המדלג</w:t>
      </w:r>
      <w:r w:rsidRPr="00D07464">
        <w:rPr>
          <w:rFonts w:hint="cs"/>
          <w:rtl/>
        </w:rPr>
        <w:t xml:space="preserve"> </w:t>
      </w:r>
      <w:r>
        <w:rPr>
          <w:rFonts w:hint="cs"/>
          <w:rtl/>
        </w:rPr>
        <w:t xml:space="preserve">פסול מדיעקרא, ואם יובא בפני הכנסת בתפקידה המכונן ויתאשר, הוא צפוי להיות מוכרז כבטל הן בשל רטרואקטיביות פסולה והן בשל היותו לוקה בפרסונליות ובסלקטיביות שאינם מותרים. עיינו: מיכל טמיר "חקיקה פרסונלית </w:t>
      </w:r>
      <w:r>
        <w:rPr>
          <w:rtl/>
        </w:rPr>
        <w:t>–</w:t>
      </w:r>
      <w:r>
        <w:rPr>
          <w:rFonts w:hint="cs"/>
          <w:rtl/>
        </w:rPr>
        <w:t xml:space="preserve"> חקיקה סלקטיבית?" </w:t>
      </w:r>
      <w:r w:rsidRPr="009D77C5">
        <w:rPr>
          <w:rFonts w:ascii="Century" w:hAnsi="Century" w:cs="Miriam" w:hint="cs"/>
          <w:b/>
          <w:spacing w:val="0"/>
          <w:szCs w:val="24"/>
          <w:rtl/>
        </w:rPr>
        <w:t>חוקים</w:t>
      </w:r>
      <w:r w:rsidRPr="009D77C5">
        <w:rPr>
          <w:rFonts w:hint="cs"/>
          <w:rtl/>
        </w:rPr>
        <w:t xml:space="preserve"> </w:t>
      </w:r>
      <w:r>
        <w:rPr>
          <w:rFonts w:hint="cs"/>
          <w:rtl/>
        </w:rPr>
        <w:t xml:space="preserve">י"ב, 173 (2018). </w:t>
      </w:r>
    </w:p>
    <w:p w:rsidR="008835E9" w:rsidRPr="00691603" w:rsidRDefault="008835E9" w:rsidP="008835E9">
      <w:pPr>
        <w:pStyle w:val="Ruller40"/>
        <w:rPr>
          <w:sz w:val="16"/>
          <w:szCs w:val="22"/>
          <w:rtl/>
        </w:rPr>
      </w:pPr>
    </w:p>
    <w:p w:rsidR="008835E9" w:rsidRDefault="008835E9" w:rsidP="008835E9">
      <w:pPr>
        <w:pStyle w:val="Ruller40"/>
        <w:rPr>
          <w:rtl/>
        </w:rPr>
      </w:pPr>
      <w:r>
        <w:rPr>
          <w:rFonts w:hint="cs"/>
          <w:rtl/>
        </w:rPr>
        <w:t>15.</w:t>
      </w:r>
      <w:r>
        <w:rPr>
          <w:rFonts w:hint="cs"/>
          <w:rtl/>
        </w:rPr>
        <w:tab/>
      </w:r>
      <w:r w:rsidRPr="009D77C5">
        <w:rPr>
          <w:rFonts w:hint="cs"/>
          <w:b/>
          <w:bCs/>
          <w:rtl/>
        </w:rPr>
        <w:t xml:space="preserve">דין דומה חל </w:t>
      </w:r>
      <w:r>
        <w:rPr>
          <w:rFonts w:hint="cs"/>
          <w:b/>
          <w:bCs/>
          <w:rtl/>
        </w:rPr>
        <w:t xml:space="preserve">גם </w:t>
      </w:r>
      <w:r w:rsidRPr="009D77C5">
        <w:rPr>
          <w:rFonts w:hint="cs"/>
          <w:b/>
          <w:bCs/>
          <w:rtl/>
        </w:rPr>
        <w:t>על הרעיון לכרסם בזכויות הפרלמנטריות של האופוזיציה</w:t>
      </w:r>
      <w:r>
        <w:rPr>
          <w:rFonts w:hint="cs"/>
          <w:rtl/>
        </w:rPr>
        <w:t xml:space="preserve"> (למשל בנושא חלוקת התפקידים של ראשי הועדות בכנסת, כמוצע בסעיף 22 ל</w:t>
      </w:r>
      <w:r w:rsidRPr="000F5E4E">
        <w:rPr>
          <w:rFonts w:ascii="Century" w:hAnsi="Century" w:cs="Miriam" w:hint="cs"/>
          <w:b/>
          <w:spacing w:val="0"/>
          <w:szCs w:val="24"/>
          <w:rtl/>
        </w:rPr>
        <w:t>הסכם הקואליציוני</w:t>
      </w:r>
      <w:r>
        <w:rPr>
          <w:rFonts w:hint="cs"/>
          <w:rtl/>
        </w:rPr>
        <w:t>).</w:t>
      </w:r>
    </w:p>
    <w:p w:rsidR="008835E9" w:rsidRPr="00691603" w:rsidRDefault="008835E9" w:rsidP="008835E9">
      <w:pPr>
        <w:pStyle w:val="Ruller40"/>
        <w:rPr>
          <w:sz w:val="18"/>
          <w:szCs w:val="24"/>
          <w:rtl/>
        </w:rPr>
      </w:pPr>
    </w:p>
    <w:p w:rsidR="008835E9" w:rsidRDefault="008835E9" w:rsidP="008835E9">
      <w:pPr>
        <w:pStyle w:val="Ruller40"/>
        <w:rPr>
          <w:rtl/>
        </w:rPr>
      </w:pPr>
      <w:r>
        <w:rPr>
          <w:rtl/>
        </w:rPr>
        <w:tab/>
      </w:r>
      <w:r>
        <w:rPr>
          <w:rFonts w:hint="cs"/>
          <w:rtl/>
        </w:rPr>
        <w:t>רעיון זה עלול לגרוע, שלא כדין, ממעמדה של האופוזיציה בכנסת, שגם היא נדבך חשוב במשטר הדמוקרטי שלנו ומקומה מובטח ומעוגן בסעיפים 13, 14 ו-15 ל</w:t>
      </w:r>
      <w:r w:rsidRPr="00AB32E6">
        <w:rPr>
          <w:rFonts w:ascii="Century" w:hAnsi="Century" w:cs="Miriam" w:hint="cs"/>
          <w:b/>
          <w:spacing w:val="0"/>
          <w:szCs w:val="24"/>
          <w:rtl/>
        </w:rPr>
        <w:t>חוק הכנסת</w:t>
      </w:r>
      <w:r>
        <w:rPr>
          <w:rFonts w:ascii="Century" w:hAnsi="Century" w:cs="Miriam" w:hint="cs"/>
          <w:b/>
          <w:spacing w:val="0"/>
          <w:szCs w:val="24"/>
          <w:rtl/>
        </w:rPr>
        <w:t>,</w:t>
      </w:r>
      <w:r w:rsidRPr="00AB32E6">
        <w:rPr>
          <w:rFonts w:ascii="Century" w:hAnsi="Century" w:cs="Miriam" w:hint="cs"/>
          <w:b/>
          <w:spacing w:val="0"/>
          <w:szCs w:val="24"/>
          <w:rtl/>
        </w:rPr>
        <w:t xml:space="preserve"> התשנ"ד-1994 </w:t>
      </w:r>
      <w:r>
        <w:rPr>
          <w:rFonts w:hint="cs"/>
          <w:rtl/>
        </w:rPr>
        <w:t>וכן בנוהל ובנוהג המקובלים בכנסת, שיש לפעול על פיהם מכוח סעיף 19 ל</w:t>
      </w:r>
      <w:r w:rsidRPr="00AB32E6">
        <w:rPr>
          <w:rFonts w:ascii="Century" w:hAnsi="Century" w:cs="Miriam" w:hint="cs"/>
          <w:b/>
          <w:spacing w:val="0"/>
          <w:szCs w:val="24"/>
          <w:rtl/>
        </w:rPr>
        <w:t>חוק-יסוד: הכנסת</w:t>
      </w:r>
      <w:r>
        <w:rPr>
          <w:rFonts w:hint="cs"/>
          <w:rtl/>
        </w:rPr>
        <w:t>.</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בהקשר זה ראוי לציין כי מהחוברת שהוכנה ע"י מרכז המחקר והמידע של הכנסת והוגשה לנו בתאריך 04.05.2020 (לגבי ההשתייכות של יו"ר הוועדות הקבועות של הכנסת לקואליציה ולאופוזיציה לתקופותיהם) עולה כי לפחות מאז 1992 היו בכנסות השונות לתקופותיהן </w:t>
      </w:r>
      <w:r>
        <w:rPr>
          <w:rtl/>
        </w:rPr>
        <w:t>–</w:t>
      </w:r>
      <w:r>
        <w:rPr>
          <w:rFonts w:hint="cs"/>
          <w:rtl/>
        </w:rPr>
        <w:t xml:space="preserve"> 3 יו"ר מהאופוזיציה לוועדות קבועות של הכנסת. </w:t>
      </w:r>
    </w:p>
    <w:p w:rsidR="008835E9" w:rsidRDefault="008835E9" w:rsidP="008835E9">
      <w:pPr>
        <w:pStyle w:val="Ruller40"/>
        <w:rPr>
          <w:rtl/>
        </w:rPr>
      </w:pPr>
    </w:p>
    <w:p w:rsidR="008835E9" w:rsidRDefault="008835E9" w:rsidP="008835E9">
      <w:pPr>
        <w:pStyle w:val="Ruller40"/>
        <w:rPr>
          <w:rtl/>
        </w:rPr>
      </w:pPr>
      <w:r>
        <w:rPr>
          <w:rFonts w:ascii="Century" w:hAnsi="Century" w:cs="Miriam"/>
          <w:b/>
          <w:spacing w:val="0"/>
          <w:szCs w:val="24"/>
          <w:rtl/>
        </w:rPr>
        <w:tab/>
      </w:r>
      <w:r w:rsidRPr="009D77C5">
        <w:rPr>
          <w:rFonts w:ascii="Century" w:hAnsi="Century" w:cs="Miriam" w:hint="cs"/>
          <w:b/>
          <w:spacing w:val="0"/>
          <w:szCs w:val="24"/>
          <w:rtl/>
        </w:rPr>
        <w:t>בהסכם הקואליציוני</w:t>
      </w:r>
      <w:r w:rsidRPr="009D77C5">
        <w:rPr>
          <w:rFonts w:hint="cs"/>
          <w:rtl/>
        </w:rPr>
        <w:t xml:space="preserve"> </w:t>
      </w:r>
      <w:r>
        <w:rPr>
          <w:rFonts w:hint="cs"/>
          <w:rtl/>
        </w:rPr>
        <w:t xml:space="preserve">שהוצג לנו הוצע, למשל, כי יינתן לאופוזיציה רק יו"ר אחד של ועדה מוועדות הכנסת (יו"ר ועדת ביקורת המדינה). כרסום זה עלול לפגוע במרקם החיים הדמוקרטיים ולכן הוא </w:t>
      </w:r>
      <w:r w:rsidRPr="00AB32E6">
        <w:rPr>
          <w:rFonts w:ascii="Century" w:hAnsi="Century" w:cs="Miriam" w:hint="cs"/>
          <w:b/>
          <w:spacing w:val="0"/>
          <w:szCs w:val="24"/>
          <w:rtl/>
        </w:rPr>
        <w:t>אסור</w:t>
      </w:r>
      <w:r>
        <w:rPr>
          <w:rFonts w:hint="cs"/>
          <w:rtl/>
        </w:rPr>
        <w:t xml:space="preserve">, ולפיכך יש להוציא גם לגביו, לשיטתי, "מעין התראת בטלות". עיינו והשוו: עע"מ 1207/15 </w:t>
      </w:r>
      <w:r w:rsidRPr="00B735C2">
        <w:rPr>
          <w:rFonts w:ascii="Century" w:hAnsi="Century" w:cs="Miriam" w:hint="cs"/>
          <w:b/>
          <w:spacing w:val="0"/>
          <w:szCs w:val="24"/>
          <w:rtl/>
        </w:rPr>
        <w:t>רוחמקין נ' מועצת העיר בני ברק</w:t>
      </w:r>
      <w:r w:rsidRPr="00B735C2">
        <w:rPr>
          <w:rFonts w:hint="cs"/>
          <w:rtl/>
        </w:rPr>
        <w:t xml:space="preserve"> </w:t>
      </w:r>
      <w:r>
        <w:rPr>
          <w:rFonts w:hint="cs"/>
          <w:rtl/>
        </w:rPr>
        <w:t xml:space="preserve">(18.08.2016); </w:t>
      </w:r>
      <w:r w:rsidRPr="00404DD3">
        <w:rPr>
          <w:rFonts w:ascii="Century" w:hAnsi="Century" w:cs="Miriam" w:hint="cs"/>
          <w:b/>
          <w:spacing w:val="0"/>
          <w:szCs w:val="24"/>
          <w:rtl/>
        </w:rPr>
        <w:t>עניין אבירם</w:t>
      </w:r>
      <w:r>
        <w:rPr>
          <w:rFonts w:hint="cs"/>
          <w:rtl/>
        </w:rPr>
        <w:t xml:space="preserve">; יגאל מרזל "המעמד החוקתי של האופוזיציה הפרלמנטרית" </w:t>
      </w:r>
      <w:r w:rsidRPr="00B735C2">
        <w:rPr>
          <w:rFonts w:ascii="Century" w:hAnsi="Century" w:cs="Miriam" w:hint="cs"/>
          <w:b/>
          <w:spacing w:val="0"/>
          <w:szCs w:val="24"/>
          <w:rtl/>
        </w:rPr>
        <w:t>משפטים</w:t>
      </w:r>
      <w:r w:rsidRPr="00B735C2">
        <w:rPr>
          <w:rFonts w:hint="cs"/>
          <w:rtl/>
        </w:rPr>
        <w:t xml:space="preserve"> </w:t>
      </w:r>
      <w:r>
        <w:rPr>
          <w:rFonts w:hint="cs"/>
          <w:rtl/>
        </w:rPr>
        <w:t xml:space="preserve">לח 217 (תשס"ח); </w:t>
      </w:r>
      <w:r w:rsidRPr="009D77C5">
        <w:rPr>
          <w:rFonts w:asciiTheme="majorBidi" w:hAnsiTheme="majorBidi" w:cstheme="majorBidi"/>
        </w:rPr>
        <w:t xml:space="preserve">Yaniv Roznai, </w:t>
      </w:r>
      <w:r w:rsidRPr="009D77C5">
        <w:rPr>
          <w:rFonts w:asciiTheme="majorBidi" w:hAnsiTheme="majorBidi" w:cstheme="majorBidi"/>
          <w:i/>
          <w:iCs/>
        </w:rPr>
        <w:t>Constitutional Paternalism: The Israeli Supreme Court as Guardian of the Knesset</w:t>
      </w:r>
      <w:r w:rsidRPr="009D77C5">
        <w:rPr>
          <w:rFonts w:asciiTheme="majorBidi" w:hAnsiTheme="majorBidi" w:cstheme="majorBidi"/>
        </w:rPr>
        <w:t xml:space="preserve">, 51(4) </w:t>
      </w:r>
      <w:r w:rsidRPr="009D77C5">
        <w:rPr>
          <w:rFonts w:asciiTheme="majorBidi" w:hAnsiTheme="majorBidi" w:cstheme="majorBidi"/>
          <w:smallCaps/>
        </w:rPr>
        <w:t>Verfassung und Recht in Ubresee</w:t>
      </w:r>
      <w:r w:rsidRPr="009D77C5">
        <w:rPr>
          <w:rFonts w:asciiTheme="majorBidi" w:hAnsiTheme="majorBidi" w:cstheme="majorBidi"/>
        </w:rPr>
        <w:t>, 415-436 (201</w:t>
      </w:r>
      <w:r>
        <w:rPr>
          <w:rFonts w:asciiTheme="majorBidi" w:hAnsiTheme="majorBidi" w:cstheme="majorBidi"/>
        </w:rPr>
        <w:t>8-201</w:t>
      </w:r>
      <w:r w:rsidRPr="009D77C5">
        <w:rPr>
          <w:rFonts w:asciiTheme="majorBidi" w:hAnsiTheme="majorBidi" w:cstheme="majorBidi"/>
        </w:rPr>
        <w:t>9)</w:t>
      </w:r>
      <w:r>
        <w:rPr>
          <w:rFonts w:hint="cs"/>
          <w:rtl/>
        </w:rPr>
        <w:t>.</w:t>
      </w:r>
    </w:p>
    <w:p w:rsidR="008835E9" w:rsidRDefault="008835E9" w:rsidP="008835E9">
      <w:pPr>
        <w:pStyle w:val="Ruller40"/>
        <w:rPr>
          <w:rtl/>
        </w:rPr>
      </w:pPr>
    </w:p>
    <w:p w:rsidR="008835E9" w:rsidRDefault="008835E9" w:rsidP="008835E9">
      <w:pPr>
        <w:pStyle w:val="Ruller40"/>
        <w:rPr>
          <w:rtl/>
        </w:rPr>
      </w:pPr>
      <w:r>
        <w:rPr>
          <w:rFonts w:hint="cs"/>
          <w:rtl/>
        </w:rPr>
        <w:t>16.</w:t>
      </w:r>
      <w:r>
        <w:rPr>
          <w:rFonts w:hint="cs"/>
          <w:rtl/>
        </w:rPr>
        <w:tab/>
        <w:t xml:space="preserve">לסיום </w:t>
      </w:r>
      <w:r>
        <w:rPr>
          <w:rtl/>
        </w:rPr>
        <w:t>–</w:t>
      </w:r>
      <w:r>
        <w:rPr>
          <w:rFonts w:hint="cs"/>
          <w:rtl/>
        </w:rPr>
        <w:t xml:space="preserve"> חברתי הנשיאה ציטטה בפסק דינה חלק מקטע שהבאתי ב</w:t>
      </w:r>
      <w:r w:rsidRPr="00404DD3">
        <w:rPr>
          <w:rFonts w:ascii="Century" w:hAnsi="Century" w:cs="Miriam" w:hint="cs"/>
          <w:b/>
          <w:spacing w:val="0"/>
          <w:szCs w:val="24"/>
          <w:rtl/>
        </w:rPr>
        <w:t xml:space="preserve">עניין זכור </w:t>
      </w:r>
      <w:r>
        <w:rPr>
          <w:rFonts w:hint="cs"/>
          <w:rtl/>
        </w:rPr>
        <w:t xml:space="preserve">מתוך מאמר של השופט </w:t>
      </w:r>
      <w:r w:rsidRPr="009D77C5">
        <w:rPr>
          <w:rFonts w:ascii="Century" w:hAnsi="Century" w:cs="Miriam" w:hint="cs"/>
          <w:b/>
          <w:spacing w:val="0"/>
          <w:szCs w:val="24"/>
          <w:rtl/>
        </w:rPr>
        <w:t>חיים ה' כהן</w:t>
      </w:r>
      <w:r w:rsidRPr="009D77C5">
        <w:rPr>
          <w:rFonts w:hint="cs"/>
          <w:rtl/>
        </w:rPr>
        <w:t xml:space="preserve"> </w:t>
      </w:r>
      <w:r>
        <w:rPr>
          <w:rFonts w:hint="cs"/>
          <w:rtl/>
        </w:rPr>
        <w:t xml:space="preserve">ז"ל, </w:t>
      </w:r>
      <w:r w:rsidRPr="00404DD3">
        <w:rPr>
          <w:rFonts w:ascii="Century" w:hAnsi="Century" w:cs="Miriam" w:hint="cs"/>
          <w:b/>
          <w:spacing w:val="0"/>
          <w:szCs w:val="24"/>
          <w:rtl/>
        </w:rPr>
        <w:t>כיצד מרקדין לפני הכלה</w:t>
      </w:r>
      <w:r w:rsidRPr="00404DD3">
        <w:rPr>
          <w:rFonts w:hint="cs"/>
          <w:rtl/>
        </w:rPr>
        <w:t xml:space="preserve"> (</w:t>
      </w:r>
      <w:r w:rsidRPr="00404DD3">
        <w:rPr>
          <w:rFonts w:ascii="Century" w:hAnsi="Century" w:cs="Miriam" w:hint="cs"/>
          <w:b/>
          <w:spacing w:val="0"/>
          <w:szCs w:val="24"/>
          <w:rtl/>
        </w:rPr>
        <w:t>משפט וממשל</w:t>
      </w:r>
      <w:r w:rsidRPr="00404DD3">
        <w:rPr>
          <w:rFonts w:hint="cs"/>
          <w:rtl/>
        </w:rPr>
        <w:t xml:space="preserve"> ג' 321 (1995)). </w:t>
      </w:r>
      <w:r>
        <w:rPr>
          <w:rFonts w:hint="cs"/>
          <w:rtl/>
        </w:rPr>
        <w:t xml:space="preserve">במאמר זה דימה השופט </w:t>
      </w:r>
      <w:r w:rsidRPr="00404DD3">
        <w:rPr>
          <w:rFonts w:ascii="Century" w:hAnsi="Century" w:cs="Miriam" w:hint="cs"/>
          <w:b/>
          <w:spacing w:val="0"/>
          <w:szCs w:val="24"/>
          <w:rtl/>
        </w:rPr>
        <w:t>חיים ה' כהן</w:t>
      </w:r>
      <w:r w:rsidRPr="00404DD3">
        <w:rPr>
          <w:rFonts w:hint="cs"/>
          <w:rtl/>
        </w:rPr>
        <w:t xml:space="preserve"> </w:t>
      </w:r>
      <w:r>
        <w:rPr>
          <w:rFonts w:hint="cs"/>
          <w:rtl/>
        </w:rPr>
        <w:t>את הטיפול המשפטי הראוי בהסכם פוליטי לדיון ההלכתי בסוגיה של: "כיצד מרקדין לפני הכלה", כאשר גדר ההתחבטות היא בין התערבות לבין אי-התערבות, וכך הוא אמר, בין היתר, שם:</w:t>
      </w:r>
    </w:p>
    <w:p w:rsidR="008835E9" w:rsidRDefault="008835E9" w:rsidP="008835E9">
      <w:pPr>
        <w:pStyle w:val="Ruller40"/>
        <w:rPr>
          <w:rtl/>
        </w:rPr>
      </w:pPr>
    </w:p>
    <w:p w:rsidR="008835E9" w:rsidRDefault="008835E9" w:rsidP="008835E9">
      <w:pPr>
        <w:pStyle w:val="Ruller5"/>
        <w:rPr>
          <w:rtl/>
        </w:rPr>
      </w:pPr>
      <w:r>
        <w:rPr>
          <w:rFonts w:hint="cs"/>
          <w:rtl/>
        </w:rPr>
        <w:t>"אלה אומרים, אין מתפקידנו או מסמכותנו לתחוב אפנו (תרתי משמע) לתוך רזי אהבה קואליציונית וקסמיה; ואלה אומרים, חובתנו היא להוקיע ולמנוע זיווגים המסכנים לא רק את שלומם של בני הזוג אלא, והוא העיקר, את שלטון המשפט...".</w:t>
      </w:r>
    </w:p>
    <w:p w:rsidR="008835E9" w:rsidRDefault="008835E9" w:rsidP="008835E9">
      <w:pPr>
        <w:pStyle w:val="Ruller40"/>
        <w:rPr>
          <w:rtl/>
        </w:rPr>
      </w:pPr>
    </w:p>
    <w:p w:rsidR="008835E9" w:rsidRDefault="008835E9" w:rsidP="008835E9">
      <w:pPr>
        <w:pStyle w:val="Ruller40"/>
        <w:rPr>
          <w:rtl/>
        </w:rPr>
      </w:pPr>
      <w:r>
        <w:rPr>
          <w:rtl/>
        </w:rPr>
        <w:tab/>
      </w:r>
      <w:r>
        <w:rPr>
          <w:rFonts w:hint="cs"/>
          <w:rtl/>
        </w:rPr>
        <w:t xml:space="preserve">דומה עלי כי בשני הנושאים שנסקרו לעיל </w:t>
      </w:r>
      <w:r>
        <w:rPr>
          <w:rtl/>
        </w:rPr>
        <w:t>–</w:t>
      </w:r>
      <w:r>
        <w:rPr>
          <w:rFonts w:hint="cs"/>
          <w:rtl/>
        </w:rPr>
        <w:t xml:space="preserve"> לא היה צורך בהתערבות שלנו בשלב זה, ואולם גם הימנעות מהתערבות איננה מספקת. לכן הוצאת "מעין התראת בטלות" היא התרופה הראויה, לדעתי, והנני תקווה שלא יהיה צורך לממשה. </w:t>
      </w:r>
    </w:p>
    <w:p w:rsidR="008835E9" w:rsidRDefault="008835E9" w:rsidP="00E90B83">
      <w:pPr>
        <w:pStyle w:val="Ruller40"/>
        <w:rPr>
          <w:rtl/>
        </w:rPr>
      </w:pPr>
    </w:p>
    <w:tbl>
      <w:tblPr>
        <w:bidiVisual/>
        <w:tblW w:w="8363" w:type="dxa"/>
        <w:tblLook w:val="01E0" w:firstRow="1" w:lastRow="1" w:firstColumn="1" w:lastColumn="1" w:noHBand="0" w:noVBand="0"/>
      </w:tblPr>
      <w:tblGrid>
        <w:gridCol w:w="2782"/>
        <w:gridCol w:w="2782"/>
        <w:gridCol w:w="2799"/>
      </w:tblGrid>
      <w:tr w:rsidR="00BA3662" w:rsidRPr="000A1340" w:rsidTr="008835E9">
        <w:tc>
          <w:tcPr>
            <w:tcW w:w="2842" w:type="dxa"/>
            <w:hideMark/>
          </w:tcPr>
          <w:p w:rsidR="00BA3662" w:rsidRPr="000A1340" w:rsidRDefault="00BA3662" w:rsidP="008835E9">
            <w:pPr>
              <w:pStyle w:val="Ruller40"/>
            </w:pPr>
          </w:p>
        </w:tc>
        <w:tc>
          <w:tcPr>
            <w:tcW w:w="2843" w:type="dxa"/>
            <w:hideMark/>
          </w:tcPr>
          <w:p w:rsidR="00BA3662" w:rsidRPr="000A1340" w:rsidRDefault="00BA3662" w:rsidP="008835E9">
            <w:pPr>
              <w:pStyle w:val="Ruller40"/>
              <w:jc w:val="center"/>
              <w:rPr>
                <w:rtl/>
              </w:rPr>
            </w:pPr>
          </w:p>
        </w:tc>
        <w:tc>
          <w:tcPr>
            <w:tcW w:w="2843" w:type="dxa"/>
            <w:hideMark/>
          </w:tcPr>
          <w:p w:rsidR="00BA3662" w:rsidRPr="000A1340" w:rsidRDefault="00BA3662" w:rsidP="008835E9">
            <w:pPr>
              <w:pStyle w:val="Ruller40"/>
              <w:jc w:val="center"/>
              <w:rPr>
                <w:rtl/>
              </w:rPr>
            </w:pPr>
            <w:r>
              <w:rPr>
                <w:rFonts w:hint="cs"/>
                <w:rtl/>
              </w:rPr>
              <w:t xml:space="preserve">המשנה לנשיאה </w:t>
            </w:r>
            <w:r w:rsidRPr="000A1340">
              <w:rPr>
                <w:rtl/>
              </w:rPr>
              <w:t xml:space="preserve"> </w:t>
            </w:r>
          </w:p>
        </w:tc>
      </w:tr>
    </w:tbl>
    <w:p w:rsidR="00BA3662" w:rsidRDefault="00BA3662" w:rsidP="00BA3662">
      <w:pPr>
        <w:pStyle w:val="Ruller40"/>
        <w:rPr>
          <w:rtl/>
        </w:rPr>
      </w:pPr>
    </w:p>
    <w:p w:rsidR="001E242B" w:rsidRDefault="001E242B" w:rsidP="00454C34">
      <w:pPr>
        <w:pStyle w:val="Ruller40"/>
        <w:rPr>
          <w:rtl/>
        </w:rPr>
      </w:pPr>
    </w:p>
    <w:p w:rsidR="001E242B" w:rsidRDefault="001E242B">
      <w:pPr>
        <w:overflowPunct/>
        <w:autoSpaceDE/>
        <w:autoSpaceDN/>
        <w:bidi w:val="0"/>
        <w:adjustRightInd/>
        <w:textAlignment w:val="auto"/>
        <w:rPr>
          <w:rFonts w:ascii="Arial TUR" w:hAnsi="Arial TUR" w:cs="FrankRuehl"/>
          <w:spacing w:val="10"/>
          <w:sz w:val="22"/>
          <w:szCs w:val="28"/>
          <w:rtl/>
        </w:rPr>
      </w:pPr>
      <w:r>
        <w:rPr>
          <w:rtl/>
        </w:rPr>
        <w:br w:type="page"/>
      </w:r>
    </w:p>
    <w:p w:rsidR="00454C34" w:rsidRPr="00894C7C" w:rsidRDefault="001469FE" w:rsidP="001E242B">
      <w:pPr>
        <w:pStyle w:val="Ruller40"/>
        <w:rPr>
          <w:rFonts w:ascii="Century" w:hAnsi="Century"/>
        </w:rPr>
      </w:pPr>
      <w:r>
        <w:rPr>
          <w:rtl/>
        </w:rPr>
        <w:tab/>
      </w:r>
      <w:r w:rsidR="00454C34" w:rsidRPr="00894C7C">
        <w:rPr>
          <w:rFonts w:ascii="Century" w:hAnsi="Century" w:hint="cs"/>
          <w:rtl/>
        </w:rPr>
        <w:t>מטעמים אלה הוחלט פה אחד, כאמור בפסק הדין מיום 6.5.2020, לדחות את העתירות, הן באשר להטלת תפקיד הרכבת הממשלה על חה"כ נתניהו והן באשר להסכם הקואליציוני</w:t>
      </w:r>
      <w:r w:rsidR="00454C34">
        <w:rPr>
          <w:rFonts w:ascii="Century" w:hAnsi="Century" w:hint="cs"/>
          <w:rtl/>
        </w:rPr>
        <w:t>.</w:t>
      </w:r>
    </w:p>
    <w:p w:rsidR="00454C34" w:rsidRDefault="00454C34" w:rsidP="00454C34">
      <w:pPr>
        <w:pStyle w:val="Ruller40"/>
        <w:rPr>
          <w:rtl/>
        </w:rPr>
      </w:pPr>
    </w:p>
    <w:p w:rsidR="001649D2" w:rsidRDefault="001649D2" w:rsidP="00454C34">
      <w:pPr>
        <w:pStyle w:val="Ruller40"/>
        <w:rPr>
          <w:rtl/>
        </w:rPr>
      </w:pPr>
      <w:r>
        <w:rPr>
          <w:rtl/>
        </w:rPr>
        <w:tab/>
        <w:t>נית</w:t>
      </w:r>
      <w:r>
        <w:rPr>
          <w:rFonts w:hint="cs"/>
          <w:rtl/>
        </w:rPr>
        <w:t>ן</w:t>
      </w:r>
      <w:r>
        <w:rPr>
          <w:rtl/>
        </w:rPr>
        <w:t xml:space="preserve"> היום, </w:t>
      </w:r>
      <w:r>
        <w:rPr>
          <w:rFonts w:hint="eastAsia"/>
          <w:rtl/>
        </w:rPr>
        <w:t>‏</w:t>
      </w:r>
      <w:r>
        <w:rPr>
          <w:rFonts w:hint="cs"/>
          <w:rtl/>
        </w:rPr>
        <w:t>ד</w:t>
      </w:r>
      <w:r>
        <w:rPr>
          <w:rtl/>
        </w:rPr>
        <w:t>' בסיון התש"</w:t>
      </w:r>
      <w:r>
        <w:rPr>
          <w:rFonts w:hint="cs"/>
          <w:rtl/>
        </w:rPr>
        <w:t>ף</w:t>
      </w:r>
      <w:r>
        <w:rPr>
          <w:rtl/>
        </w:rPr>
        <w:t xml:space="preserve"> (</w:t>
      </w:r>
      <w:r>
        <w:rPr>
          <w:rFonts w:hint="eastAsia"/>
          <w:rtl/>
        </w:rPr>
        <w:t>‏</w:t>
      </w:r>
      <w:r>
        <w:rPr>
          <w:rFonts w:hint="cs"/>
          <w:rtl/>
        </w:rPr>
        <w:t>27</w:t>
      </w:r>
      <w:r>
        <w:rPr>
          <w:rtl/>
        </w:rPr>
        <w:t>.5.2020).</w:t>
      </w:r>
    </w:p>
    <w:p w:rsidR="001649D2" w:rsidRDefault="001649D2" w:rsidP="00A51FAE">
      <w:pPr>
        <w:pStyle w:val="Ruller40"/>
        <w:rPr>
          <w:rtl/>
        </w:rPr>
      </w:pPr>
    </w:p>
    <w:p w:rsidR="001649D2" w:rsidRDefault="001649D2" w:rsidP="00A51FAE">
      <w:pPr>
        <w:pStyle w:val="Ruller40"/>
        <w:rPr>
          <w:rtl/>
        </w:rPr>
      </w:pPr>
    </w:p>
    <w:tbl>
      <w:tblPr>
        <w:bidiVisual/>
        <w:tblW w:w="8363" w:type="dxa"/>
        <w:tblLook w:val="01E0" w:firstRow="1" w:lastRow="1" w:firstColumn="1" w:lastColumn="1" w:noHBand="0" w:noVBand="0"/>
      </w:tblPr>
      <w:tblGrid>
        <w:gridCol w:w="2783"/>
        <w:gridCol w:w="2797"/>
        <w:gridCol w:w="2783"/>
      </w:tblGrid>
      <w:tr w:rsidR="001649D2" w:rsidRPr="000A1340" w:rsidTr="008835E9">
        <w:tc>
          <w:tcPr>
            <w:tcW w:w="2842" w:type="dxa"/>
            <w:hideMark/>
          </w:tcPr>
          <w:p w:rsidR="001649D2" w:rsidRPr="000A1340" w:rsidRDefault="001649D2" w:rsidP="008835E9">
            <w:pPr>
              <w:pStyle w:val="Ruller40"/>
            </w:pPr>
            <w:r w:rsidRPr="000A1340">
              <w:rPr>
                <w:rtl/>
              </w:rPr>
              <w:t>ה נ ש י א ה</w:t>
            </w:r>
          </w:p>
        </w:tc>
        <w:tc>
          <w:tcPr>
            <w:tcW w:w="2843" w:type="dxa"/>
            <w:hideMark/>
          </w:tcPr>
          <w:p w:rsidR="001649D2" w:rsidRPr="000A1340" w:rsidRDefault="001649D2" w:rsidP="008835E9">
            <w:pPr>
              <w:pStyle w:val="Ruller40"/>
              <w:jc w:val="center"/>
              <w:rPr>
                <w:rtl/>
              </w:rPr>
            </w:pPr>
            <w:r w:rsidRPr="000A1340">
              <w:rPr>
                <w:rtl/>
              </w:rPr>
              <w:t>המשנה לנשיאה</w:t>
            </w:r>
          </w:p>
        </w:tc>
        <w:tc>
          <w:tcPr>
            <w:tcW w:w="2843" w:type="dxa"/>
            <w:hideMark/>
          </w:tcPr>
          <w:p w:rsidR="001649D2" w:rsidRPr="000A1340" w:rsidRDefault="001649D2" w:rsidP="008835E9">
            <w:pPr>
              <w:pStyle w:val="Ruller40"/>
              <w:jc w:val="center"/>
              <w:rPr>
                <w:rtl/>
              </w:rPr>
            </w:pPr>
            <w:r w:rsidRPr="000A1340">
              <w:rPr>
                <w:rtl/>
              </w:rPr>
              <w:t xml:space="preserve">ש ו פ ט </w:t>
            </w:r>
          </w:p>
        </w:tc>
      </w:tr>
    </w:tbl>
    <w:p w:rsidR="001649D2" w:rsidRPr="000A1340" w:rsidRDefault="001649D2" w:rsidP="001649D2">
      <w:pPr>
        <w:pStyle w:val="Ruller40"/>
        <w:rPr>
          <w:rtl/>
        </w:rPr>
      </w:pPr>
    </w:p>
    <w:tbl>
      <w:tblPr>
        <w:bidiVisual/>
        <w:tblW w:w="8363" w:type="dxa"/>
        <w:tblLook w:val="01E0" w:firstRow="1" w:lastRow="1" w:firstColumn="1" w:lastColumn="1" w:noHBand="0" w:noVBand="0"/>
      </w:tblPr>
      <w:tblGrid>
        <w:gridCol w:w="2787"/>
        <w:gridCol w:w="2788"/>
        <w:gridCol w:w="2788"/>
      </w:tblGrid>
      <w:tr w:rsidR="001649D2" w:rsidRPr="000A1340" w:rsidTr="00321FCB">
        <w:tc>
          <w:tcPr>
            <w:tcW w:w="2787" w:type="dxa"/>
            <w:hideMark/>
          </w:tcPr>
          <w:p w:rsidR="001649D2" w:rsidRPr="000A1340" w:rsidRDefault="001649D2" w:rsidP="008835E9">
            <w:pPr>
              <w:pStyle w:val="Ruller40"/>
              <w:rPr>
                <w:rtl/>
              </w:rPr>
            </w:pPr>
            <w:r w:rsidRPr="000A1340">
              <w:rPr>
                <w:rtl/>
              </w:rPr>
              <w:t>ש ו פ ט</w:t>
            </w:r>
          </w:p>
        </w:tc>
        <w:tc>
          <w:tcPr>
            <w:tcW w:w="2788" w:type="dxa"/>
            <w:hideMark/>
          </w:tcPr>
          <w:p w:rsidR="001649D2" w:rsidRPr="000A1340" w:rsidRDefault="001649D2" w:rsidP="008835E9">
            <w:pPr>
              <w:pStyle w:val="Ruller40"/>
              <w:jc w:val="center"/>
              <w:rPr>
                <w:rtl/>
              </w:rPr>
            </w:pPr>
            <w:r w:rsidRPr="000A1340">
              <w:rPr>
                <w:rtl/>
              </w:rPr>
              <w:t>ש ו פ ט</w:t>
            </w:r>
          </w:p>
        </w:tc>
        <w:tc>
          <w:tcPr>
            <w:tcW w:w="2788" w:type="dxa"/>
            <w:hideMark/>
          </w:tcPr>
          <w:p w:rsidR="001649D2" w:rsidRPr="000A1340" w:rsidRDefault="001649D2" w:rsidP="008835E9">
            <w:pPr>
              <w:pStyle w:val="Ruller40"/>
              <w:jc w:val="center"/>
              <w:rPr>
                <w:rtl/>
              </w:rPr>
            </w:pPr>
            <w:r w:rsidRPr="000A1340">
              <w:rPr>
                <w:rtl/>
              </w:rPr>
              <w:t>ש ו פ ט</w:t>
            </w:r>
          </w:p>
        </w:tc>
      </w:tr>
    </w:tbl>
    <w:p w:rsidR="001649D2" w:rsidRPr="000A1340" w:rsidRDefault="001649D2" w:rsidP="001649D2">
      <w:pPr>
        <w:pStyle w:val="Ruller40"/>
        <w:rPr>
          <w:rtl/>
        </w:rPr>
      </w:pPr>
    </w:p>
    <w:tbl>
      <w:tblPr>
        <w:bidiVisual/>
        <w:tblW w:w="8363" w:type="dxa"/>
        <w:tblLook w:val="01E0" w:firstRow="1" w:lastRow="1" w:firstColumn="1" w:lastColumn="1" w:noHBand="0" w:noVBand="0"/>
      </w:tblPr>
      <w:tblGrid>
        <w:gridCol w:w="2787"/>
        <w:gridCol w:w="2788"/>
        <w:gridCol w:w="2788"/>
      </w:tblGrid>
      <w:tr w:rsidR="001649D2" w:rsidRPr="000A1340" w:rsidTr="008835E9">
        <w:tc>
          <w:tcPr>
            <w:tcW w:w="2842" w:type="dxa"/>
            <w:hideMark/>
          </w:tcPr>
          <w:p w:rsidR="001649D2" w:rsidRPr="000A1340" w:rsidRDefault="001649D2" w:rsidP="008835E9">
            <w:pPr>
              <w:pStyle w:val="Ruller40"/>
              <w:rPr>
                <w:rtl/>
              </w:rPr>
            </w:pPr>
            <w:r w:rsidRPr="000A1340">
              <w:rPr>
                <w:rtl/>
              </w:rPr>
              <w:t>ש ו פ ט ת</w:t>
            </w:r>
          </w:p>
        </w:tc>
        <w:tc>
          <w:tcPr>
            <w:tcW w:w="2843" w:type="dxa"/>
            <w:hideMark/>
          </w:tcPr>
          <w:p w:rsidR="001649D2" w:rsidRPr="000A1340" w:rsidRDefault="001649D2" w:rsidP="008835E9">
            <w:pPr>
              <w:pStyle w:val="Ruller40"/>
              <w:jc w:val="center"/>
              <w:rPr>
                <w:rtl/>
              </w:rPr>
            </w:pPr>
            <w:r w:rsidRPr="000A1340">
              <w:rPr>
                <w:rtl/>
              </w:rPr>
              <w:t xml:space="preserve">ש ו פ ט </w:t>
            </w:r>
          </w:p>
        </w:tc>
        <w:tc>
          <w:tcPr>
            <w:tcW w:w="2843" w:type="dxa"/>
            <w:hideMark/>
          </w:tcPr>
          <w:p w:rsidR="001649D2" w:rsidRPr="000A1340" w:rsidRDefault="001649D2" w:rsidP="008835E9">
            <w:pPr>
              <w:pStyle w:val="Ruller40"/>
              <w:jc w:val="center"/>
              <w:rPr>
                <w:rtl/>
              </w:rPr>
            </w:pPr>
            <w:r w:rsidRPr="000A1340">
              <w:rPr>
                <w:rtl/>
              </w:rPr>
              <w:t>ש ו פ ט ת</w:t>
            </w:r>
          </w:p>
        </w:tc>
      </w:tr>
    </w:tbl>
    <w:p w:rsidR="001649D2" w:rsidRPr="000A1340" w:rsidRDefault="001649D2" w:rsidP="001649D2">
      <w:pPr>
        <w:pStyle w:val="Ruller40"/>
        <w:rPr>
          <w:rtl/>
        </w:rPr>
      </w:pPr>
    </w:p>
    <w:tbl>
      <w:tblPr>
        <w:bidiVisual/>
        <w:tblW w:w="8363" w:type="dxa"/>
        <w:tblLook w:val="01E0" w:firstRow="1" w:lastRow="1" w:firstColumn="1" w:lastColumn="1" w:noHBand="0" w:noVBand="0"/>
      </w:tblPr>
      <w:tblGrid>
        <w:gridCol w:w="2788"/>
        <w:gridCol w:w="2789"/>
        <w:gridCol w:w="2786"/>
      </w:tblGrid>
      <w:tr w:rsidR="001649D2" w:rsidRPr="000A1340" w:rsidTr="00321FCB">
        <w:tc>
          <w:tcPr>
            <w:tcW w:w="2788" w:type="dxa"/>
            <w:hideMark/>
          </w:tcPr>
          <w:p w:rsidR="001649D2" w:rsidRPr="000A1340" w:rsidRDefault="001649D2" w:rsidP="008835E9">
            <w:pPr>
              <w:pStyle w:val="Ruller40"/>
              <w:rPr>
                <w:rtl/>
              </w:rPr>
            </w:pPr>
            <w:r w:rsidRPr="000A1340">
              <w:rPr>
                <w:rtl/>
              </w:rPr>
              <w:t>ש ו פ ט</w:t>
            </w:r>
          </w:p>
        </w:tc>
        <w:tc>
          <w:tcPr>
            <w:tcW w:w="2789" w:type="dxa"/>
            <w:hideMark/>
          </w:tcPr>
          <w:p w:rsidR="001649D2" w:rsidRPr="000A1340" w:rsidRDefault="001649D2" w:rsidP="008835E9">
            <w:pPr>
              <w:pStyle w:val="Ruller40"/>
              <w:jc w:val="center"/>
              <w:rPr>
                <w:rtl/>
              </w:rPr>
            </w:pPr>
            <w:r w:rsidRPr="000A1340">
              <w:rPr>
                <w:rtl/>
              </w:rPr>
              <w:t>ש ו פ ט</w:t>
            </w:r>
          </w:p>
        </w:tc>
        <w:tc>
          <w:tcPr>
            <w:tcW w:w="2786" w:type="dxa"/>
            <w:hideMark/>
          </w:tcPr>
          <w:p w:rsidR="001649D2" w:rsidRPr="000A1340" w:rsidRDefault="001649D2" w:rsidP="008835E9">
            <w:pPr>
              <w:pStyle w:val="Ruller40"/>
              <w:jc w:val="center"/>
              <w:rPr>
                <w:rtl/>
              </w:rPr>
            </w:pPr>
            <w:r w:rsidRPr="000A1340">
              <w:rPr>
                <w:rtl/>
              </w:rPr>
              <w:t xml:space="preserve"> </w:t>
            </w:r>
          </w:p>
        </w:tc>
      </w:tr>
    </w:tbl>
    <w:p w:rsidR="00916FF8" w:rsidRDefault="00916FF8">
      <w:pPr>
        <w:rPr>
          <w:szCs w:val="16"/>
          <w:rtl/>
        </w:rPr>
      </w:pPr>
      <w:r>
        <w:rPr>
          <w:szCs w:val="16"/>
          <w:rtl/>
        </w:rPr>
        <w:t>_________________</w:t>
      </w:r>
      <w:r w:rsidR="00A12E0F">
        <w:rPr>
          <w:rFonts w:hint="cs"/>
          <w:szCs w:val="16"/>
          <w:rtl/>
        </w:rPr>
        <w:t>________</w:t>
      </w:r>
    </w:p>
    <w:p w:rsidR="00916FF8" w:rsidRDefault="00591983" w:rsidP="007E71F8">
      <w:pPr>
        <w:pStyle w:val="Ruller38"/>
        <w:rPr>
          <w:rtl/>
        </w:rPr>
      </w:pPr>
      <w:r>
        <w:rPr>
          <w:sz w:val="16"/>
        </w:rPr>
        <w:t xml:space="preserve"> </w:t>
      </w:r>
      <w:r w:rsidR="00A12E0F">
        <w:rPr>
          <w:sz w:val="16"/>
        </w:rPr>
        <w:t xml:space="preserve">  </w:t>
      </w:r>
      <w:r w:rsidR="00B009CC">
        <w:rPr>
          <w:sz w:val="16"/>
        </w:rPr>
        <w:fldChar w:fldCharType="begin">
          <w:ffData>
            <w:name w:val="FileName"/>
            <w:enabled/>
            <w:calcOnExit w:val="0"/>
            <w:textInput/>
          </w:ffData>
        </w:fldChar>
      </w:r>
      <w:bookmarkStart w:id="9" w:name="FileName"/>
      <w:r w:rsidR="00B009CC">
        <w:rPr>
          <w:sz w:val="16"/>
        </w:rPr>
        <w:instrText xml:space="preserve"> FORMTEXT </w:instrText>
      </w:r>
      <w:r w:rsidR="00B009CC">
        <w:rPr>
          <w:sz w:val="16"/>
        </w:rPr>
      </w:r>
      <w:r w:rsidR="00B009CC">
        <w:rPr>
          <w:sz w:val="16"/>
        </w:rPr>
        <w:fldChar w:fldCharType="separate"/>
      </w:r>
      <w:r w:rsidR="00B009CC">
        <w:rPr>
          <w:noProof/>
          <w:sz w:val="16"/>
        </w:rPr>
        <w:t> </w:t>
      </w:r>
      <w:r w:rsidR="00B009CC">
        <w:rPr>
          <w:noProof/>
          <w:sz w:val="16"/>
        </w:rPr>
        <w:t> </w:t>
      </w:r>
      <w:r w:rsidR="00B009CC">
        <w:rPr>
          <w:noProof/>
          <w:sz w:val="16"/>
        </w:rPr>
        <w:t> </w:t>
      </w:r>
      <w:r w:rsidR="00B009CC">
        <w:rPr>
          <w:noProof/>
          <w:sz w:val="16"/>
        </w:rPr>
        <w:t> </w:t>
      </w:r>
      <w:r w:rsidR="00B009CC">
        <w:rPr>
          <w:noProof/>
          <w:sz w:val="16"/>
        </w:rPr>
        <w:t> </w:t>
      </w:r>
      <w:r w:rsidR="00B009CC">
        <w:rPr>
          <w:sz w:val="16"/>
        </w:rPr>
        <w:fldChar w:fldCharType="end"/>
      </w:r>
      <w:bookmarkEnd w:id="9"/>
      <w:r w:rsidR="007E71F8" w:rsidRPr="000A1340">
        <w:rPr>
          <w:sz w:val="16"/>
        </w:rPr>
        <w:t>20025920_V</w:t>
      </w:r>
      <w:r w:rsidR="007E71F8">
        <w:rPr>
          <w:sz w:val="16"/>
        </w:rPr>
        <w:t>67</w:t>
      </w:r>
      <w:r w:rsidR="007E71F8" w:rsidRPr="000A1340">
        <w:rPr>
          <w:sz w:val="16"/>
        </w:rPr>
        <w:t>.docx</w:t>
      </w:r>
      <w:r w:rsidR="007E71F8">
        <w:rPr>
          <w:rFonts w:hint="cs"/>
          <w:sz w:val="16"/>
          <w:rtl/>
        </w:rPr>
        <w:t>אש</w:t>
      </w:r>
    </w:p>
    <w:p w:rsidR="003F1F97" w:rsidRDefault="00591983" w:rsidP="00321FCB">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11" w:history="1">
        <w:r w:rsidR="0058440A" w:rsidRPr="00CB1590">
          <w:rPr>
            <w:rStyle w:val="Hyperlink"/>
            <w:sz w:val="16"/>
          </w:rPr>
          <w:t>http://supreme.court.gov.i</w:t>
        </w:r>
      </w:hyperlink>
      <w:r w:rsidR="0058440A" w:rsidRPr="00CB1590">
        <w:rPr>
          <w:sz w:val="16"/>
        </w:rPr>
        <w:t>l</w:t>
      </w:r>
    </w:p>
    <w:sectPr w:rsidR="003F1F97" w:rsidSect="00591983">
      <w:headerReference w:type="even" r:id="rId12"/>
      <w:headerReference w:type="default" r:id="rId13"/>
      <w:footerReference w:type="even" r:id="rId14"/>
      <w:headerReference w:type="first" r:id="rId15"/>
      <w:footerReference w:type="first" r:id="rId16"/>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951" w:rsidRDefault="00861951">
      <w:r>
        <w:separator/>
      </w:r>
    </w:p>
  </w:endnote>
  <w:endnote w:type="continuationSeparator" w:id="0">
    <w:p w:rsidR="00861951" w:rsidRDefault="0086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Arimo">
    <w:altName w:val="MV Boli"/>
    <w:charset w:val="00"/>
    <w:family w:val="auto"/>
    <w:pitch w:val="default"/>
  </w:font>
  <w:font w:name="כשרות FrankRueh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951" w:rsidRDefault="00861951">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861951" w:rsidRDefault="00861951">
    <w:pPr>
      <w:pStyle w:val="a3"/>
      <w:rPr>
        <w:rtl/>
      </w:rPr>
    </w:pPr>
  </w:p>
  <w:p w:rsidR="00861951" w:rsidRDefault="0086195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951" w:rsidRPr="00F959DB" w:rsidRDefault="00861951" w:rsidP="00914156">
    <w:pPr>
      <w:pStyle w:val="a3"/>
      <w:bidi w:val="0"/>
      <w:jc w:val="right"/>
      <w:rPr>
        <w:sz w:val="16"/>
        <w:szCs w:val="16"/>
      </w:rPr>
    </w:pPr>
    <w:bookmarkStart w:id="10" w:name="footer_line"/>
    <w:bookmarkEnd w:id="10"/>
  </w:p>
  <w:p w:rsidR="00861951" w:rsidRDefault="00861951">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951" w:rsidRDefault="00861951">
      <w:r>
        <w:separator/>
      </w:r>
    </w:p>
  </w:footnote>
  <w:footnote w:type="continuationSeparator" w:id="0">
    <w:p w:rsidR="00861951" w:rsidRDefault="0086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951" w:rsidRDefault="00861951">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861951" w:rsidRDefault="00861951">
    <w:pPr>
      <w:pStyle w:val="a5"/>
      <w:rPr>
        <w:rtl/>
      </w:rPr>
    </w:pPr>
  </w:p>
  <w:p w:rsidR="00861951" w:rsidRDefault="0086195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951" w:rsidRDefault="00861951">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CB1788">
      <w:rPr>
        <w:rStyle w:val="a4"/>
        <w:noProof/>
        <w:rtl/>
      </w:rPr>
      <w:t>5</w:t>
    </w:r>
    <w:r>
      <w:rPr>
        <w:rStyle w:val="a4"/>
        <w:rtl/>
      </w:rPr>
      <w:fldChar w:fldCharType="end"/>
    </w:r>
  </w:p>
  <w:p w:rsidR="00861951" w:rsidRDefault="00861951">
    <w:pPr>
      <w:pStyle w:val="a5"/>
      <w:rPr>
        <w:rtl/>
      </w:rPr>
    </w:pPr>
  </w:p>
  <w:p w:rsidR="00861951" w:rsidRDefault="0086195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861951" w:rsidTr="00EC23AC">
      <w:trPr>
        <w:trHeight w:val="342"/>
      </w:trPr>
      <w:tc>
        <w:tcPr>
          <w:tcW w:w="9828" w:type="dxa"/>
        </w:tcPr>
        <w:p w:rsidR="00861951" w:rsidRPr="002F7BB6" w:rsidRDefault="00861951"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861951" w:rsidRDefault="00861951"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7AF546"/>
    <w:lvl w:ilvl="0">
      <w:start w:val="1"/>
      <w:numFmt w:val="decimal"/>
      <w:lvlText w:val="%1."/>
      <w:lvlJc w:val="left"/>
      <w:pPr>
        <w:tabs>
          <w:tab w:val="num" w:pos="1049"/>
        </w:tabs>
        <w:ind w:left="142" w:firstLine="0"/>
      </w:pPr>
      <w:rPr>
        <w:rFonts w:ascii="FrankRuehl" w:hAnsi="FrankRuehl" w:cs="FrankRuehl" w:hint="default"/>
      </w:r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D62D44A"/>
    <w:lvl w:ilvl="0" w:tplc="D5E8B616">
      <w:start w:val="1"/>
      <w:numFmt w:val="decimal"/>
      <w:pStyle w:val="Ruller4"/>
      <w:lvlText w:val="%1."/>
      <w:lvlJc w:val="left"/>
      <w:pPr>
        <w:tabs>
          <w:tab w:val="num" w:pos="1049"/>
        </w:tabs>
        <w:ind w:left="142" w:firstLine="0"/>
      </w:pPr>
      <w:rPr>
        <w:rFonts w:ascii="Century" w:hAnsi="Century" w:cs="FrankRuehl" w:hint="default"/>
        <w:b w:val="0"/>
        <w:bCs w:val="0"/>
        <w:i w:val="0"/>
        <w:iCs w:val="0"/>
        <w:caps w:val="0"/>
        <w:smallCaps w:val="0"/>
        <w:strike w:val="0"/>
        <w:dstrike w:val="0"/>
        <w:outline w:val="0"/>
        <w:shadow w:val="0"/>
        <w:emboss w:val="0"/>
        <w:imprint w:val="0"/>
        <w:vanish w:val="0"/>
        <w:color w:val="auto"/>
        <w:spacing w:val="10"/>
        <w:w w:val="100"/>
        <w:kern w:val="0"/>
        <w:position w:val="0"/>
        <w:sz w:val="22"/>
        <w:szCs w:val="28"/>
        <w:u w:val="none"/>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AF4555"/>
    <w:multiLevelType w:val="hybridMultilevel"/>
    <w:tmpl w:val="CB0E70C6"/>
    <w:lvl w:ilvl="0" w:tplc="EC9E161E">
      <w:start w:val="1"/>
      <w:numFmt w:val="hebrew1"/>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15:restartNumberingAfterBreak="0">
    <w:nsid w:val="35E30DF2"/>
    <w:multiLevelType w:val="hybridMultilevel"/>
    <w:tmpl w:val="5EC64E80"/>
    <w:lvl w:ilvl="0" w:tplc="5FE687F6">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0"/>
    <w:lvlOverride w:ilvl="0">
      <w:startOverride w:val="1"/>
    </w:lvlOverride>
  </w:num>
  <w:num w:numId="13">
    <w:abstractNumId w:val="12"/>
  </w:num>
  <w:num w:numId="14">
    <w:abstractNumId w:val="11"/>
  </w:num>
  <w:num w:numId="15">
    <w:abstractNumId w:val="10"/>
    <w:lvlOverride w:ilvl="0">
      <w:startOverride w:val="1"/>
    </w:lvlOverride>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36811"/>
    <w:rsid w:val="00044953"/>
    <w:rsid w:val="00045B4D"/>
    <w:rsid w:val="000723B6"/>
    <w:rsid w:val="000725F5"/>
    <w:rsid w:val="00072AD2"/>
    <w:rsid w:val="000B1478"/>
    <w:rsid w:val="000C4690"/>
    <w:rsid w:val="000D25C4"/>
    <w:rsid w:val="00134A67"/>
    <w:rsid w:val="001469FE"/>
    <w:rsid w:val="001649D2"/>
    <w:rsid w:val="00171CCE"/>
    <w:rsid w:val="001A0164"/>
    <w:rsid w:val="001E242B"/>
    <w:rsid w:val="001E2727"/>
    <w:rsid w:val="00200D6B"/>
    <w:rsid w:val="00222092"/>
    <w:rsid w:val="00265F6E"/>
    <w:rsid w:val="002876BF"/>
    <w:rsid w:val="0029797A"/>
    <w:rsid w:val="002A4A7A"/>
    <w:rsid w:val="002A4BF3"/>
    <w:rsid w:val="002A6B50"/>
    <w:rsid w:val="002D1B99"/>
    <w:rsid w:val="002F7BB6"/>
    <w:rsid w:val="00321FCB"/>
    <w:rsid w:val="003448B2"/>
    <w:rsid w:val="00361DB2"/>
    <w:rsid w:val="0037622E"/>
    <w:rsid w:val="00377102"/>
    <w:rsid w:val="0039709B"/>
    <w:rsid w:val="003D72DA"/>
    <w:rsid w:val="003F1F97"/>
    <w:rsid w:val="0041048F"/>
    <w:rsid w:val="00437D59"/>
    <w:rsid w:val="00437ECF"/>
    <w:rsid w:val="00454C34"/>
    <w:rsid w:val="004610A4"/>
    <w:rsid w:val="004855BB"/>
    <w:rsid w:val="004B29FF"/>
    <w:rsid w:val="004C7868"/>
    <w:rsid w:val="00503A3E"/>
    <w:rsid w:val="00503E45"/>
    <w:rsid w:val="00527F02"/>
    <w:rsid w:val="00527FD8"/>
    <w:rsid w:val="00537773"/>
    <w:rsid w:val="0057684A"/>
    <w:rsid w:val="005803E2"/>
    <w:rsid w:val="0058440A"/>
    <w:rsid w:val="00591983"/>
    <w:rsid w:val="0061597F"/>
    <w:rsid w:val="00624A42"/>
    <w:rsid w:val="00632E36"/>
    <w:rsid w:val="0065522F"/>
    <w:rsid w:val="006A30F7"/>
    <w:rsid w:val="006C42AD"/>
    <w:rsid w:val="00725345"/>
    <w:rsid w:val="00740CF4"/>
    <w:rsid w:val="00741CC0"/>
    <w:rsid w:val="00773CDB"/>
    <w:rsid w:val="007B512F"/>
    <w:rsid w:val="007D13AB"/>
    <w:rsid w:val="007E61B6"/>
    <w:rsid w:val="007E71F8"/>
    <w:rsid w:val="007F7512"/>
    <w:rsid w:val="00810894"/>
    <w:rsid w:val="008143AB"/>
    <w:rsid w:val="0083345F"/>
    <w:rsid w:val="00836667"/>
    <w:rsid w:val="00857185"/>
    <w:rsid w:val="00861951"/>
    <w:rsid w:val="00866D0F"/>
    <w:rsid w:val="008835E9"/>
    <w:rsid w:val="008A250A"/>
    <w:rsid w:val="008B76CB"/>
    <w:rsid w:val="008C2F11"/>
    <w:rsid w:val="008C6885"/>
    <w:rsid w:val="008D6C61"/>
    <w:rsid w:val="008D78B9"/>
    <w:rsid w:val="008E3F85"/>
    <w:rsid w:val="009051E8"/>
    <w:rsid w:val="00914156"/>
    <w:rsid w:val="00916FF8"/>
    <w:rsid w:val="00922093"/>
    <w:rsid w:val="00930C85"/>
    <w:rsid w:val="00932AF0"/>
    <w:rsid w:val="009A5850"/>
    <w:rsid w:val="009B38DA"/>
    <w:rsid w:val="009F2F53"/>
    <w:rsid w:val="009F4187"/>
    <w:rsid w:val="00A12E0F"/>
    <w:rsid w:val="00A25929"/>
    <w:rsid w:val="00A51FAE"/>
    <w:rsid w:val="00A80845"/>
    <w:rsid w:val="00AB69F7"/>
    <w:rsid w:val="00AD097B"/>
    <w:rsid w:val="00AD64B9"/>
    <w:rsid w:val="00AE022B"/>
    <w:rsid w:val="00AE0552"/>
    <w:rsid w:val="00B009CC"/>
    <w:rsid w:val="00B0782A"/>
    <w:rsid w:val="00B12262"/>
    <w:rsid w:val="00B602D9"/>
    <w:rsid w:val="00B62B8C"/>
    <w:rsid w:val="00B63343"/>
    <w:rsid w:val="00B87FF7"/>
    <w:rsid w:val="00B95F84"/>
    <w:rsid w:val="00BA0B08"/>
    <w:rsid w:val="00BA3662"/>
    <w:rsid w:val="00BC0E82"/>
    <w:rsid w:val="00BD40F9"/>
    <w:rsid w:val="00BF4691"/>
    <w:rsid w:val="00C41C86"/>
    <w:rsid w:val="00C63A6C"/>
    <w:rsid w:val="00C725F2"/>
    <w:rsid w:val="00CA13AF"/>
    <w:rsid w:val="00CA1444"/>
    <w:rsid w:val="00CB1590"/>
    <w:rsid w:val="00CB1788"/>
    <w:rsid w:val="00CB7600"/>
    <w:rsid w:val="00CC0E9D"/>
    <w:rsid w:val="00CC3639"/>
    <w:rsid w:val="00D00B1D"/>
    <w:rsid w:val="00D00CB7"/>
    <w:rsid w:val="00D0588F"/>
    <w:rsid w:val="00D25F16"/>
    <w:rsid w:val="00DA042E"/>
    <w:rsid w:val="00E21CA9"/>
    <w:rsid w:val="00E31063"/>
    <w:rsid w:val="00E36FE9"/>
    <w:rsid w:val="00E73E98"/>
    <w:rsid w:val="00E75223"/>
    <w:rsid w:val="00E90B83"/>
    <w:rsid w:val="00E90D72"/>
    <w:rsid w:val="00EA0BE1"/>
    <w:rsid w:val="00EC23AC"/>
    <w:rsid w:val="00EC2992"/>
    <w:rsid w:val="00ED0A0F"/>
    <w:rsid w:val="00ED46A4"/>
    <w:rsid w:val="00ED6FD9"/>
    <w:rsid w:val="00EE3810"/>
    <w:rsid w:val="00F63C3B"/>
    <w:rsid w:val="00F959DB"/>
    <w:rsid w:val="00FB627E"/>
    <w:rsid w:val="00FC2FB3"/>
    <w:rsid w:val="00FC4A43"/>
    <w:rsid w:val="00FD5BC0"/>
    <w:rsid w:val="00FE0F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BCA6E5B-8A68-4C9F-B504-5F6FC4FE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link w:val="Ruller41"/>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0"/>
    <w:next w:val="Ruller40"/>
    <w:link w:val="Ruller42"/>
    <w:rsid w:val="00ED0A0F"/>
    <w:pPr>
      <w:numPr>
        <w:numId w:val="11"/>
      </w:numPr>
    </w:pPr>
    <w:rPr>
      <w:rFonts w:ascii="Garamond" w:hAnsi="Garamond"/>
      <w:sz w:val="24"/>
    </w:rPr>
  </w:style>
  <w:style w:type="character" w:customStyle="1" w:styleId="Ruller41">
    <w:name w:val="Ruller4 תו"/>
    <w:link w:val="Ruller40"/>
    <w:locked/>
    <w:rsid w:val="00ED0A0F"/>
    <w:rPr>
      <w:rFonts w:ascii="Arial TUR" w:hAnsi="Arial TUR" w:cs="FrankRuehl"/>
      <w:spacing w:val="10"/>
      <w:sz w:val="22"/>
      <w:szCs w:val="28"/>
    </w:rPr>
  </w:style>
  <w:style w:type="character" w:customStyle="1" w:styleId="Ruller42">
    <w:name w:val="Ruller 4 ממוספר תו"/>
    <w:link w:val="Ruller4"/>
    <w:locked/>
    <w:rsid w:val="00ED0A0F"/>
    <w:rPr>
      <w:rFonts w:ascii="Garamond" w:hAnsi="Garamond" w:cs="FrankRuehl"/>
      <w:spacing w:val="10"/>
      <w:sz w:val="24"/>
      <w:szCs w:val="28"/>
    </w:rPr>
  </w:style>
  <w:style w:type="character" w:customStyle="1" w:styleId="default">
    <w:name w:val="default"/>
    <w:basedOn w:val="a0"/>
    <w:rsid w:val="008835E9"/>
  </w:style>
  <w:style w:type="paragraph" w:customStyle="1" w:styleId="p00">
    <w:name w:val="p00"/>
    <w:basedOn w:val="a"/>
    <w:rsid w:val="008835E9"/>
    <w:pPr>
      <w:overflowPunct/>
      <w:autoSpaceDE/>
      <w:autoSpaceDN/>
      <w:bidi w:val="0"/>
      <w:adjustRightInd/>
      <w:spacing w:before="100" w:beforeAutospacing="1" w:after="100" w:afterAutospacing="1"/>
      <w:textAlignment w:val="auto"/>
    </w:pPr>
    <w:rPr>
      <w:rFonts w:cs="Times New Roman"/>
      <w:sz w:val="24"/>
    </w:rPr>
  </w:style>
  <w:style w:type="character" w:customStyle="1" w:styleId="big-number">
    <w:name w:val="big-number"/>
    <w:basedOn w:val="a0"/>
    <w:rsid w:val="008835E9"/>
  </w:style>
  <w:style w:type="paragraph" w:customStyle="1" w:styleId="p22">
    <w:name w:val="p22"/>
    <w:basedOn w:val="a"/>
    <w:rsid w:val="008835E9"/>
    <w:pPr>
      <w:overflowPunct/>
      <w:autoSpaceDE/>
      <w:autoSpaceDN/>
      <w:bidi w:val="0"/>
      <w:adjustRightInd/>
      <w:spacing w:before="100" w:beforeAutospacing="1" w:after="100" w:afterAutospacing="1"/>
      <w:textAlignment w:val="auto"/>
    </w:pPr>
    <w:rPr>
      <w:rFonts w:cs="Times New Roman"/>
      <w:sz w:val="24"/>
    </w:rPr>
  </w:style>
  <w:style w:type="paragraph" w:customStyle="1" w:styleId="P000">
    <w:name w:val="P00"/>
    <w:link w:val="P001"/>
    <w:rsid w:val="008835E9"/>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P001">
    <w:name w:val="P00 תו"/>
    <w:link w:val="P000"/>
    <w:rsid w:val="008835E9"/>
    <w:rPr>
      <w:noProof/>
      <w:szCs w:val="26"/>
      <w:lang w:eastAsia="he-IL"/>
    </w:rPr>
  </w:style>
  <w:style w:type="paragraph" w:customStyle="1" w:styleId="ae">
    <w:name w:val="כללי"/>
    <w:basedOn w:val="a"/>
    <w:rsid w:val="004855BB"/>
    <w:pPr>
      <w:spacing w:after="210" w:line="270" w:lineRule="exact"/>
      <w:ind w:firstLine="284"/>
      <w:jc w:val="both"/>
    </w:pPr>
    <w:rPr>
      <w:rFonts w:cs="FrankRuehl"/>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sefaria.org.il/Psalms.85.11"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upreme.court.gov.i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efaria.org.il/Psalms.85.12" TargetMode="External"/><Relationship Id="rId4" Type="http://schemas.openxmlformats.org/officeDocument/2006/relationships/settings" Target="settings.xml"/><Relationship Id="rId9" Type="http://schemas.openxmlformats.org/officeDocument/2006/relationships/hyperlink" Target="https://www.sefaria.org.il/Daniel.8.12"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100</Pages>
  <Words>24563</Words>
  <Characters>118336</Characters>
  <Application>Microsoft Office Word</Application>
  <DocSecurity>4</DocSecurity>
  <Lines>986</Lines>
  <Paragraphs>285</Paragraphs>
  <ScaleCrop>false</ScaleCrop>
  <HeadingPairs>
    <vt:vector size="2" baseType="variant">
      <vt:variant>
        <vt:lpstr>שם</vt:lpstr>
      </vt:variant>
      <vt:variant>
        <vt:i4>1</vt:i4>
      </vt:variant>
    </vt:vector>
  </HeadingPairs>
  <TitlesOfParts>
    <vt:vector size="1" baseType="lpstr">
      <vt:lpstr>פסק-דין בתיק בג"ץ  2592/20</vt:lpstr>
    </vt:vector>
  </TitlesOfParts>
  <Company>supreme court of israel</Company>
  <LinksUpToDate>false</LinksUpToDate>
  <CharactersWithSpaces>142614</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2592/20</dc:title>
  <dc:subject/>
  <dc:creator>Administrator</dc:creator>
  <cp:keywords/>
  <dc:description/>
  <cp:lastModifiedBy>הדס לרנר</cp:lastModifiedBy>
  <cp:revision>2</cp:revision>
  <cp:lastPrinted>2020-05-27T11:26:00Z</cp:lastPrinted>
  <dcterms:created xsi:type="dcterms:W3CDTF">2022-07-20T06:16:00Z</dcterms:created>
  <dcterms:modified xsi:type="dcterms:W3CDTF">2022-07-20T06:16:00Z</dcterms:modified>
</cp:coreProperties>
</file>